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4821F7" w:rsidRPr="00F63FFF" w14:paraId="1E998FE1" w14:textId="77777777" w:rsidTr="007E1D85">
        <w:tc>
          <w:tcPr>
            <w:tcW w:w="5211" w:type="dxa"/>
            <w:hideMark/>
          </w:tcPr>
          <w:p w14:paraId="33417DE0" w14:textId="77777777" w:rsidR="007E1D85" w:rsidRPr="003524DD" w:rsidRDefault="007E1D85" w:rsidP="0020532D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14:paraId="7286C1A1" w14:textId="77777777" w:rsidR="00CF3BE4" w:rsidRPr="00F63FFF" w:rsidRDefault="00CF3BE4" w:rsidP="002053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63FF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36BF33BA" w14:textId="77777777" w:rsidR="00CF3BE4" w:rsidRPr="00F63FFF" w:rsidRDefault="00CF3BE4" w:rsidP="002053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60303252" w14:textId="77777777" w:rsidR="00E21B7F" w:rsidRPr="00F63FFF" w:rsidRDefault="00CF3BE4" w:rsidP="00E21B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E21B7F" w:rsidRPr="00F63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медицинского и фармацевтического контроля  Министерства здравоохранения </w:t>
            </w:r>
          </w:p>
          <w:p w14:paraId="34076621" w14:textId="77777777" w:rsidR="00CF3BE4" w:rsidRPr="00F63FFF" w:rsidRDefault="00E21B7F" w:rsidP="00E21B7F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Казахстан</w:t>
            </w:r>
            <w:r w:rsidR="004C71C2" w:rsidRPr="00F63FF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1AE5E0E0" w14:textId="48C6B97D" w:rsidR="00CF3BE4" w:rsidRPr="00F63FFF" w:rsidRDefault="00CF3BE4" w:rsidP="002053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r w:rsidR="000720DB" w:rsidRPr="000720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0720DB" w:rsidRPr="000720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05    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0720DB" w:rsidRPr="000720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14:paraId="7FF09F87" w14:textId="70A46F14" w:rsidR="00523D82" w:rsidRPr="000720DB" w:rsidRDefault="00CF3BE4" w:rsidP="0020532D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F63FF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</w:t>
            </w:r>
            <w:r w:rsidR="000720DB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N085920</w:t>
            </w:r>
          </w:p>
        </w:tc>
        <w:tc>
          <w:tcPr>
            <w:tcW w:w="4536" w:type="dxa"/>
          </w:tcPr>
          <w:p w14:paraId="4D24FA0C" w14:textId="77777777" w:rsidR="00523D82" w:rsidRPr="00F63FFF" w:rsidRDefault="00D46B0B" w:rsidP="00205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63FF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21F7" w:rsidRPr="00F63FFF" w14:paraId="7165CDEF" w14:textId="77777777" w:rsidTr="007E1D85">
        <w:tc>
          <w:tcPr>
            <w:tcW w:w="5211" w:type="dxa"/>
          </w:tcPr>
          <w:p w14:paraId="04316556" w14:textId="77777777" w:rsidR="00523D82" w:rsidRPr="00F63FFF" w:rsidRDefault="00523D82" w:rsidP="0020532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609495D" w14:textId="77777777" w:rsidR="00523D82" w:rsidRPr="00F63FFF" w:rsidRDefault="00523D82" w:rsidP="0020532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D506CAB" w14:textId="77777777" w:rsidR="00523D82" w:rsidRPr="00F63FFF" w:rsidRDefault="00523D82" w:rsidP="002053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699A46A7" w14:textId="77777777" w:rsidR="00280121" w:rsidRPr="00F63FFF" w:rsidRDefault="00280121" w:rsidP="002053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95662F" w14:textId="77777777" w:rsidR="00D76048" w:rsidRPr="00F63FFF" w:rsidRDefault="00506C9D" w:rsidP="002053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247DFA09" w14:textId="77777777" w:rsidR="00232642" w:rsidRPr="00F63FFF" w:rsidRDefault="00232642" w:rsidP="0020532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3DB246" w14:textId="77777777" w:rsidR="00897527" w:rsidRPr="00524A5A" w:rsidRDefault="00897527" w:rsidP="008975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OCRUncertain022"/>
      <w:r w:rsidRPr="00524A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524A5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Pr="00524A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24A5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Pr="00524A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24A5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55ECF128" w14:textId="77777777" w:rsidR="00897527" w:rsidRPr="00524A5A" w:rsidRDefault="00897527" w:rsidP="00897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A5A">
        <w:rPr>
          <w:rFonts w:ascii="Times New Roman" w:hAnsi="Times New Roman"/>
          <w:sz w:val="24"/>
          <w:szCs w:val="24"/>
        </w:rPr>
        <w:t>Азапан</w:t>
      </w:r>
      <w:proofErr w:type="spellEnd"/>
      <w:r w:rsidRPr="00524A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4A5A">
        <w:rPr>
          <w:rFonts w:ascii="Times New Roman" w:hAnsi="Times New Roman"/>
          <w:sz w:val="24"/>
          <w:szCs w:val="24"/>
        </w:rPr>
        <w:t>лиофилизат</w:t>
      </w:r>
      <w:proofErr w:type="spellEnd"/>
      <w:r w:rsidRPr="00524A5A">
        <w:rPr>
          <w:rFonts w:ascii="Times New Roman" w:hAnsi="Times New Roman"/>
          <w:sz w:val="24"/>
          <w:szCs w:val="24"/>
        </w:rPr>
        <w:t xml:space="preserve"> для приготовления суспензии для подкожного введения, 100 мг</w:t>
      </w:r>
    </w:p>
    <w:p w14:paraId="7DEC818A" w14:textId="77777777" w:rsidR="00897527" w:rsidRPr="00524A5A" w:rsidRDefault="00897527" w:rsidP="008975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328E8E" w14:textId="77777777" w:rsidR="00897527" w:rsidRPr="00524A5A" w:rsidRDefault="00897527" w:rsidP="00897527">
      <w:pPr>
        <w:spacing w:after="0" w:line="240" w:lineRule="auto"/>
        <w:jc w:val="both"/>
        <w:rPr>
          <w:sz w:val="24"/>
          <w:szCs w:val="24"/>
        </w:rPr>
      </w:pPr>
      <w:bookmarkStart w:id="1" w:name="2175220285"/>
      <w:r w:rsidRPr="00524A5A">
        <w:rPr>
          <w:rFonts w:ascii="Times New Roman" w:eastAsia="Times New Roman" w:hAnsi="Times New Roman"/>
          <w:b/>
          <w:sz w:val="24"/>
          <w:szCs w:val="24"/>
          <w:lang w:eastAsia="ru-RU"/>
        </w:rPr>
        <w:t>2. КАЧЕСТВЕННЫЙ И КОЛИЧЕСТВЕННЫЙ СОСТАВ</w:t>
      </w:r>
    </w:p>
    <w:bookmarkEnd w:id="1"/>
    <w:p w14:paraId="2F93CE81" w14:textId="77777777" w:rsidR="00897527" w:rsidRPr="00524A5A" w:rsidRDefault="00897527" w:rsidP="008975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24A5A">
        <w:rPr>
          <w:rFonts w:ascii="Times New Roman" w:hAnsi="Times New Roman"/>
          <w:b/>
          <w:bCs/>
          <w:sz w:val="24"/>
          <w:szCs w:val="24"/>
        </w:rPr>
        <w:t>2.1 Общее описание</w:t>
      </w:r>
    </w:p>
    <w:p w14:paraId="5465FA83" w14:textId="77777777" w:rsidR="00897527" w:rsidRPr="00524A5A" w:rsidRDefault="00897527" w:rsidP="00897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A5A">
        <w:rPr>
          <w:rFonts w:ascii="Times New Roman" w:hAnsi="Times New Roman"/>
          <w:sz w:val="24"/>
          <w:szCs w:val="24"/>
        </w:rPr>
        <w:t>Азацитидин</w:t>
      </w:r>
      <w:proofErr w:type="spellEnd"/>
    </w:p>
    <w:p w14:paraId="674850A6" w14:textId="77777777" w:rsidR="00897527" w:rsidRPr="00524A5A" w:rsidRDefault="00897527" w:rsidP="008975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24A5A">
        <w:rPr>
          <w:rFonts w:ascii="Times New Roman" w:hAnsi="Times New Roman"/>
          <w:b/>
          <w:bCs/>
          <w:sz w:val="24"/>
          <w:szCs w:val="24"/>
        </w:rPr>
        <w:t>2.2 Качественный и количественный состав</w:t>
      </w:r>
    </w:p>
    <w:p w14:paraId="5C4AE112" w14:textId="77777777" w:rsidR="00897527" w:rsidRPr="00524A5A" w:rsidRDefault="00897527" w:rsidP="00897527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  <w:r w:rsidRPr="00524A5A">
        <w:rPr>
          <w:rFonts w:ascii="Times New Roman" w:hAnsi="Times New Roman"/>
          <w:sz w:val="24"/>
          <w:szCs w:val="24"/>
        </w:rPr>
        <w:t>Один флакон содержит</w:t>
      </w:r>
    </w:p>
    <w:p w14:paraId="3FA9578A" w14:textId="77777777" w:rsidR="00897527" w:rsidRPr="00524A5A" w:rsidRDefault="00897527" w:rsidP="00897527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  <w:r w:rsidRPr="00524A5A">
        <w:rPr>
          <w:rFonts w:ascii="Times New Roman" w:hAnsi="Times New Roman"/>
          <w:i/>
          <w:iCs/>
          <w:sz w:val="24"/>
          <w:szCs w:val="24"/>
        </w:rPr>
        <w:t xml:space="preserve">активное вещество – </w:t>
      </w:r>
      <w:proofErr w:type="spellStart"/>
      <w:r w:rsidRPr="00524A5A"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524A5A">
        <w:rPr>
          <w:rFonts w:ascii="Times New Roman" w:hAnsi="Times New Roman"/>
          <w:sz w:val="24"/>
          <w:szCs w:val="24"/>
        </w:rPr>
        <w:t xml:space="preserve"> 100.00 мг.</w:t>
      </w:r>
    </w:p>
    <w:p w14:paraId="5E902777" w14:textId="77777777" w:rsidR="00897527" w:rsidRPr="00524A5A" w:rsidRDefault="00897527" w:rsidP="008975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524A5A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вспомогательные вещества: </w:t>
      </w:r>
      <w:bookmarkStart w:id="2" w:name="_Hlk161318780"/>
      <w:r w:rsidRPr="00524A5A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маннитол (</w:t>
      </w:r>
      <w:proofErr w:type="spellStart"/>
      <w:r w:rsidRPr="00524A5A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Pearlitol</w:t>
      </w:r>
      <w:proofErr w:type="spellEnd"/>
      <w:r w:rsidRPr="00524A5A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PF) 100.00 мг.</w:t>
      </w:r>
      <w:bookmarkEnd w:id="2"/>
    </w:p>
    <w:p w14:paraId="5B46F45E" w14:textId="77777777" w:rsidR="00897527" w:rsidRPr="00524A5A" w:rsidRDefault="00897527" w:rsidP="008975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524A5A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Полный список вспомогательных веществ см. в разделе «6.1 Перечень вспомогательных веществ».</w:t>
      </w:r>
    </w:p>
    <w:p w14:paraId="4C19A8D1" w14:textId="77777777" w:rsidR="00897527" w:rsidRPr="00524A5A" w:rsidRDefault="00897527" w:rsidP="008975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</w:p>
    <w:p w14:paraId="0F6E3EA2" w14:textId="77777777" w:rsidR="00897527" w:rsidRPr="00524A5A" w:rsidRDefault="00897527" w:rsidP="008975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A5A">
        <w:rPr>
          <w:rFonts w:ascii="Times New Roman" w:eastAsia="Times New Roman" w:hAnsi="Times New Roman"/>
          <w:b/>
          <w:sz w:val="24"/>
          <w:szCs w:val="24"/>
          <w:lang w:eastAsia="ru-RU"/>
        </w:rPr>
        <w:t>3. ЛЕКАРСТВЕННАЯ ФОРМА</w:t>
      </w:r>
    </w:p>
    <w:bookmarkEnd w:id="3"/>
    <w:p w14:paraId="13658520" w14:textId="4EC2F6E1" w:rsidR="00897527" w:rsidRPr="00524A5A" w:rsidRDefault="00897527" w:rsidP="00897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A5A">
        <w:rPr>
          <w:rFonts w:ascii="Times New Roman" w:hAnsi="Times New Roman"/>
          <w:sz w:val="24"/>
          <w:szCs w:val="24"/>
        </w:rPr>
        <w:t>Лиофилизат</w:t>
      </w:r>
      <w:proofErr w:type="spellEnd"/>
      <w:r w:rsidRPr="00524A5A">
        <w:rPr>
          <w:rFonts w:ascii="Times New Roman" w:hAnsi="Times New Roman"/>
          <w:sz w:val="24"/>
          <w:szCs w:val="24"/>
        </w:rPr>
        <w:t xml:space="preserve"> для приготовления суспензии для подкожного введения.</w:t>
      </w:r>
    </w:p>
    <w:p w14:paraId="38B0DFE9" w14:textId="77777777" w:rsidR="00897527" w:rsidRPr="00524A5A" w:rsidRDefault="00897527" w:rsidP="008975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24A5A">
        <w:rPr>
          <w:rFonts w:ascii="Times New Roman" w:hAnsi="Times New Roman"/>
          <w:iCs/>
          <w:sz w:val="24"/>
          <w:szCs w:val="24"/>
        </w:rPr>
        <w:t xml:space="preserve">Белый или почти белый </w:t>
      </w:r>
      <w:proofErr w:type="spellStart"/>
      <w:r w:rsidRPr="00524A5A">
        <w:rPr>
          <w:rFonts w:ascii="Times New Roman" w:hAnsi="Times New Roman"/>
          <w:iCs/>
          <w:sz w:val="24"/>
          <w:szCs w:val="24"/>
        </w:rPr>
        <w:t>лиофилизированный</w:t>
      </w:r>
      <w:proofErr w:type="spellEnd"/>
      <w:r w:rsidRPr="00524A5A">
        <w:rPr>
          <w:rFonts w:ascii="Times New Roman" w:hAnsi="Times New Roman"/>
          <w:iCs/>
          <w:sz w:val="24"/>
          <w:szCs w:val="24"/>
        </w:rPr>
        <w:t xml:space="preserve"> порошок.</w:t>
      </w:r>
    </w:p>
    <w:p w14:paraId="748ACBD4" w14:textId="77777777" w:rsidR="00897527" w:rsidRPr="00524A5A" w:rsidRDefault="00897527" w:rsidP="008975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24A5A">
        <w:rPr>
          <w:rFonts w:ascii="Times New Roman" w:hAnsi="Times New Roman"/>
          <w:iCs/>
          <w:sz w:val="24"/>
          <w:szCs w:val="24"/>
        </w:rPr>
        <w:t>Восстановленный раствор – прозрачный бесцветный раствор без видимых частиц.</w:t>
      </w:r>
    </w:p>
    <w:p w14:paraId="2C276981" w14:textId="77777777" w:rsidR="001A3D5B" w:rsidRPr="00F63FFF" w:rsidRDefault="001A3D5B" w:rsidP="0020532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7F074B15" w14:textId="77777777" w:rsidR="00756DD8" w:rsidRPr="00F63FFF" w:rsidRDefault="00B7231F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0"/>
      <w:r w:rsidR="00384EFD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55D860EF" w14:textId="77777777" w:rsidR="00756DD8" w:rsidRPr="00F63FFF" w:rsidRDefault="005444B2" w:rsidP="0016725D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  <w:bookmarkStart w:id="4" w:name="_Hlk20834430"/>
    </w:p>
    <w:p w14:paraId="690B97D9" w14:textId="0CA42C28" w:rsidR="0016725D" w:rsidRPr="00F63FFF" w:rsidRDefault="0094270A" w:rsidP="001672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Препарат </w:t>
      </w:r>
      <w:proofErr w:type="spellStart"/>
      <w:r w:rsidR="00E0733A"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применяется для лечения взрослых пациентов, которым не может быть выполнена трансплантация гемопоэтических стволовых клеток (ТГСК), имеющих:</w:t>
      </w:r>
    </w:p>
    <w:p w14:paraId="7CCD56AA" w14:textId="3325ECA3" w:rsidR="0016725D" w:rsidRPr="00F63FFF" w:rsidRDefault="0016725D" w:rsidP="001672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proofErr w:type="spellStart"/>
      <w:r w:rsidR="0094270A" w:rsidRPr="00F63FFF">
        <w:rPr>
          <w:rFonts w:ascii="Times New Roman" w:eastAsia="Times New Roman" w:hAnsi="Times New Roman"/>
          <w:sz w:val="24"/>
          <w:szCs w:val="24"/>
        </w:rPr>
        <w:t>миелодиспластический</w:t>
      </w:r>
      <w:proofErr w:type="spellEnd"/>
      <w:r w:rsidR="0094270A" w:rsidRPr="00F63FFF">
        <w:rPr>
          <w:rFonts w:ascii="Times New Roman" w:eastAsia="Times New Roman" w:hAnsi="Times New Roman"/>
          <w:sz w:val="24"/>
          <w:szCs w:val="24"/>
        </w:rPr>
        <w:t xml:space="preserve"> синдром (МДС) с высокой или промежуточной-2 степенью риска в соответствии со шкалой </w:t>
      </w:r>
      <w:r w:rsidR="0094270A" w:rsidRPr="00F63FFF">
        <w:rPr>
          <w:rFonts w:ascii="Times New Roman" w:eastAsia="Times New Roman" w:hAnsi="Times New Roman"/>
          <w:sz w:val="24"/>
          <w:szCs w:val="24"/>
          <w:lang w:val="en-US"/>
        </w:rPr>
        <w:t>IPSS</w:t>
      </w:r>
      <w:r w:rsidR="0094270A" w:rsidRPr="00F63FFF">
        <w:rPr>
          <w:rFonts w:ascii="Times New Roman" w:eastAsia="Times New Roman" w:hAnsi="Times New Roman"/>
          <w:sz w:val="24"/>
          <w:szCs w:val="24"/>
        </w:rPr>
        <w:t xml:space="preserve"> (Международная прогностическая система баллов)</w:t>
      </w:r>
      <w:r w:rsidR="003D233D">
        <w:rPr>
          <w:rFonts w:ascii="Times New Roman" w:eastAsia="Times New Roman" w:hAnsi="Times New Roman"/>
          <w:sz w:val="24"/>
          <w:szCs w:val="24"/>
        </w:rPr>
        <w:t>;</w:t>
      </w:r>
    </w:p>
    <w:p w14:paraId="6C82BB1B" w14:textId="50F402FA" w:rsidR="0016725D" w:rsidRPr="00F63FFF" w:rsidRDefault="0016725D" w:rsidP="001672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="0094270A" w:rsidRPr="00F63FFF">
        <w:rPr>
          <w:rFonts w:ascii="Times New Roman" w:eastAsia="Times New Roman" w:hAnsi="Times New Roman"/>
          <w:sz w:val="24"/>
          <w:szCs w:val="24"/>
        </w:rPr>
        <w:t xml:space="preserve">хронический </w:t>
      </w:r>
      <w:proofErr w:type="spellStart"/>
      <w:r w:rsidR="0094270A" w:rsidRPr="00F63FFF">
        <w:rPr>
          <w:rFonts w:ascii="Times New Roman" w:eastAsia="Times New Roman" w:hAnsi="Times New Roman"/>
          <w:sz w:val="24"/>
          <w:szCs w:val="24"/>
        </w:rPr>
        <w:t>миеломоноцитарный</w:t>
      </w:r>
      <w:proofErr w:type="spellEnd"/>
      <w:r w:rsidR="0094270A" w:rsidRPr="00F63FFF">
        <w:rPr>
          <w:rFonts w:ascii="Times New Roman" w:eastAsia="Times New Roman" w:hAnsi="Times New Roman"/>
          <w:sz w:val="24"/>
          <w:szCs w:val="24"/>
        </w:rPr>
        <w:t xml:space="preserve"> лейкоз (ХММЛ) без признаков </w:t>
      </w:r>
      <w:proofErr w:type="spellStart"/>
      <w:r w:rsidR="0094270A" w:rsidRPr="00F63FFF">
        <w:rPr>
          <w:rFonts w:ascii="Times New Roman" w:eastAsia="Times New Roman" w:hAnsi="Times New Roman"/>
          <w:sz w:val="24"/>
          <w:szCs w:val="24"/>
        </w:rPr>
        <w:t>миелодиспластического</w:t>
      </w:r>
      <w:proofErr w:type="spellEnd"/>
      <w:r w:rsidR="0094270A" w:rsidRPr="00F63FFF">
        <w:rPr>
          <w:rFonts w:ascii="Times New Roman" w:eastAsia="Times New Roman" w:hAnsi="Times New Roman"/>
          <w:sz w:val="24"/>
          <w:szCs w:val="24"/>
        </w:rPr>
        <w:t xml:space="preserve"> синдрома и с содержанием бластов в костном мозге 10-29%</w:t>
      </w:r>
      <w:r w:rsidR="003D233D">
        <w:rPr>
          <w:rFonts w:ascii="Times New Roman" w:eastAsia="Times New Roman" w:hAnsi="Times New Roman"/>
          <w:sz w:val="24"/>
          <w:szCs w:val="24"/>
        </w:rPr>
        <w:t>;</w:t>
      </w:r>
    </w:p>
    <w:p w14:paraId="6E50E4AE" w14:textId="3C2321E3" w:rsidR="0016725D" w:rsidRPr="00F63FFF" w:rsidRDefault="0016725D" w:rsidP="001672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="0094270A" w:rsidRPr="00F63FFF">
        <w:rPr>
          <w:rFonts w:ascii="Times New Roman" w:eastAsia="Times New Roman" w:hAnsi="Times New Roman"/>
          <w:sz w:val="24"/>
          <w:szCs w:val="24"/>
        </w:rPr>
        <w:t xml:space="preserve">острый миелоидный лейкоз (ОМЛ) с содержанием бластов 20-30% и </w:t>
      </w:r>
      <w:proofErr w:type="spellStart"/>
      <w:r w:rsidR="0094270A" w:rsidRPr="00F63FFF">
        <w:rPr>
          <w:rFonts w:ascii="Times New Roman" w:eastAsia="Times New Roman" w:hAnsi="Times New Roman"/>
          <w:sz w:val="24"/>
          <w:szCs w:val="24"/>
        </w:rPr>
        <w:t>мультилинейной</w:t>
      </w:r>
      <w:proofErr w:type="spellEnd"/>
      <w:r w:rsidR="0094270A" w:rsidRPr="00F63FFF">
        <w:rPr>
          <w:rFonts w:ascii="Times New Roman" w:eastAsia="Times New Roman" w:hAnsi="Times New Roman"/>
          <w:sz w:val="24"/>
          <w:szCs w:val="24"/>
        </w:rPr>
        <w:t xml:space="preserve"> дисплазией в соответствии с классификацией Всемирной Организации Здравоохранения (ВОЗ)</w:t>
      </w:r>
      <w:r w:rsidR="003D233D">
        <w:rPr>
          <w:rFonts w:ascii="Times New Roman" w:eastAsia="Times New Roman" w:hAnsi="Times New Roman"/>
          <w:sz w:val="24"/>
          <w:szCs w:val="24"/>
        </w:rPr>
        <w:t>;</w:t>
      </w:r>
    </w:p>
    <w:p w14:paraId="4F0E4168" w14:textId="53E33146" w:rsidR="00E0733A" w:rsidRPr="00E0733A" w:rsidRDefault="0016725D" w:rsidP="00167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="0094270A" w:rsidRPr="00F63FFF">
        <w:rPr>
          <w:rFonts w:ascii="Times New Roman" w:eastAsia="Times New Roman" w:hAnsi="Times New Roman"/>
          <w:sz w:val="24"/>
          <w:szCs w:val="24"/>
        </w:rPr>
        <w:t>ОМЛ с содержанием бластов в костном мозге свыше 30% в соответствии с классификацией ВОЗ</w:t>
      </w:r>
      <w:r w:rsidR="000242A3" w:rsidRPr="00F63FFF">
        <w:rPr>
          <w:rFonts w:ascii="Times New Roman" w:eastAsia="Times New Roman" w:hAnsi="Times New Roman"/>
          <w:sz w:val="24"/>
          <w:szCs w:val="24"/>
        </w:rPr>
        <w:t>.</w:t>
      </w:r>
    </w:p>
    <w:bookmarkEnd w:id="4"/>
    <w:p w14:paraId="350375C2" w14:textId="77777777" w:rsidR="00AE7922" w:rsidRPr="00F63FFF" w:rsidRDefault="00AE7922" w:rsidP="002053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C967FE" w14:textId="77777777" w:rsidR="00756DD8" w:rsidRPr="00F63FFF" w:rsidRDefault="00B7231F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2175220274"/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4.2 </w:t>
      </w:r>
      <w:bookmarkStart w:id="6" w:name="_Hlk118190570"/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</w:t>
      </w:r>
      <w:bookmarkStart w:id="7" w:name="_Hlk20927022"/>
      <w:r w:rsidR="00756DD8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дозирования и способ применения</w:t>
      </w:r>
      <w:bookmarkEnd w:id="6"/>
    </w:p>
    <w:p w14:paraId="29A77748" w14:textId="48939005" w:rsidR="00756DD8" w:rsidRPr="00F63FFF" w:rsidRDefault="0094270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Лечение препаратом </w:t>
      </w:r>
      <w:proofErr w:type="spellStart"/>
      <w:r w:rsidR="00703AE7"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следует проводить под наблюдением врача, имеющего опыт применения противоопухолевых препаратов. Перед введением препарата необходимо назначить противорвотные препараты.</w:t>
      </w:r>
    </w:p>
    <w:p w14:paraId="1897D03D" w14:textId="77777777" w:rsidR="00756DD8" w:rsidRPr="00F63FFF" w:rsidRDefault="00272EE1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</w:rPr>
        <w:t>Режим дозирования</w:t>
      </w:r>
    </w:p>
    <w:p w14:paraId="03FD691F" w14:textId="77777777" w:rsidR="00381E7C" w:rsidRDefault="00381E7C" w:rsidP="00205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81E7C">
        <w:rPr>
          <w:rFonts w:ascii="Times New Roman" w:eastAsia="Times New Roman" w:hAnsi="Times New Roman"/>
          <w:sz w:val="24"/>
          <w:szCs w:val="24"/>
        </w:rPr>
        <w:t xml:space="preserve">Рекомендуемая начальная доза для первого курса лечения — 75 мг/м² площади поверхности тела, независимо от исходных гематологических показателей пациента. </w:t>
      </w:r>
      <w:r w:rsidRPr="00381E7C">
        <w:rPr>
          <w:rFonts w:ascii="Times New Roman" w:eastAsia="Times New Roman" w:hAnsi="Times New Roman"/>
          <w:sz w:val="24"/>
          <w:szCs w:val="24"/>
        </w:rPr>
        <w:lastRenderedPageBreak/>
        <w:t>Препарат вводится подкожно, ежедневно в течение 7 дней, после чего следует 21-дневный перерыв. Общая продолжительность одного курса лечения составляет 28 дней.</w:t>
      </w:r>
    </w:p>
    <w:p w14:paraId="43C669A1" w14:textId="03E85B26" w:rsidR="00756DD8" w:rsidRPr="00F63FFF" w:rsidRDefault="0094270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>Рекомендуется провести не менее 6 терапевтических циклов. Лечение продолжается до тех пор, пока сохраняется его эффективность или до появления симптомов прогрессирования заболевания.</w:t>
      </w:r>
    </w:p>
    <w:p w14:paraId="2DCF16A3" w14:textId="404A7431" w:rsidR="00756DD8" w:rsidRPr="00F63FFF" w:rsidRDefault="0094270A" w:rsidP="00205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>В ходе наблюдения за больными оценивают ответ со стороны показателей крови и возможные проявления токсичности, в частности, со стороны крови и почек</w:t>
      </w:r>
      <w:r w:rsidR="00381E7C">
        <w:rPr>
          <w:rFonts w:ascii="Times New Roman" w:eastAsia="Times New Roman" w:hAnsi="Times New Roman"/>
          <w:sz w:val="24"/>
          <w:szCs w:val="24"/>
        </w:rPr>
        <w:t xml:space="preserve"> (см. раздел 4.4)</w:t>
      </w:r>
      <w:r w:rsidRPr="00F63FFF">
        <w:rPr>
          <w:rFonts w:ascii="Times New Roman" w:eastAsia="Times New Roman" w:hAnsi="Times New Roman"/>
          <w:sz w:val="24"/>
          <w:szCs w:val="24"/>
        </w:rPr>
        <w:t>, которые могут требовать отсрочки следующего курса лечения или снижения дозы препарата.</w:t>
      </w:r>
    </w:p>
    <w:p w14:paraId="399C5BDA" w14:textId="1083544C" w:rsidR="006A5EC4" w:rsidRPr="00F63FFF" w:rsidRDefault="006A5EC4" w:rsidP="006A5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hAnsi="Times New Roman"/>
          <w:sz w:val="24"/>
          <w:szCs w:val="24"/>
        </w:rPr>
        <w:t xml:space="preserve">Инъекционный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не следует использовать как взаимозаменяемый пероральному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азацитидину</w:t>
      </w:r>
      <w:proofErr w:type="spellEnd"/>
      <w:r w:rsidRPr="00F63FFF">
        <w:rPr>
          <w:rFonts w:ascii="Times New Roman" w:hAnsi="Times New Roman"/>
          <w:sz w:val="24"/>
          <w:szCs w:val="24"/>
        </w:rPr>
        <w:t>. Дозы, рекомендации по применению различаются для пероральных и инъекционных препаратов. При приеме проверяйте название, дозировку и способ применения препарата.</w:t>
      </w:r>
    </w:p>
    <w:p w14:paraId="7CA43A30" w14:textId="77777777" w:rsidR="00756DD8" w:rsidRPr="00F63FFF" w:rsidRDefault="0094270A" w:rsidP="006A5E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noProof/>
          <w:sz w:val="24"/>
          <w:szCs w:val="24"/>
        </w:rPr>
        <w:t>Лабораторные тесты</w:t>
      </w:r>
    </w:p>
    <w:p w14:paraId="43592E83" w14:textId="77777777" w:rsidR="00756DD8" w:rsidRPr="00F63FFF" w:rsidRDefault="0094270A" w:rsidP="006A5E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>До начала терапии и перед началом очередного цикла лечения необходимо оценивать результаты исследований функциональной активности печени, концентрации креатинина и бикарбонатов в плазме крови. До начала терапии и, как минимум, перед каждым циклом лечения следует выполнять развернутый клинический анализ крови для контроля эффективности терапии и возможных токсических реакций.</w:t>
      </w:r>
    </w:p>
    <w:p w14:paraId="4F5A20CB" w14:textId="77777777" w:rsidR="00756DD8" w:rsidRPr="00F63FFF" w:rsidRDefault="0094270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Изменение дозы при выявлении симптомов гематологической токсичности</w:t>
      </w:r>
    </w:p>
    <w:p w14:paraId="4FA8F758" w14:textId="32058190" w:rsidR="00756DD8" w:rsidRPr="00F63FFF" w:rsidRDefault="0094270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Гематологическая токсичность определяется по максимальному снижению количества клеток крови </w:t>
      </w:r>
      <w:r w:rsidR="003546AC" w:rsidRPr="00F63FFF">
        <w:rPr>
          <w:rFonts w:ascii="Times New Roman" w:eastAsia="Times New Roman" w:hAnsi="Times New Roman"/>
          <w:sz w:val="24"/>
          <w:szCs w:val="24"/>
        </w:rPr>
        <w:t xml:space="preserve">(надир) </w:t>
      </w:r>
      <w:r w:rsidRPr="00F63FFF">
        <w:rPr>
          <w:rFonts w:ascii="Times New Roman" w:eastAsia="Times New Roman" w:hAnsi="Times New Roman"/>
          <w:sz w:val="24"/>
          <w:szCs w:val="24"/>
        </w:rPr>
        <w:t>в течение данного цикла лечения, если количество тромбоцитов снижается до ≤50,0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 x </w:t>
      </w:r>
      <w:r w:rsidRPr="00F63FFF">
        <w:rPr>
          <w:rFonts w:ascii="Times New Roman" w:eastAsia="Times New Roman" w:hAnsi="Times New Roman"/>
          <w:sz w:val="24"/>
          <w:szCs w:val="24"/>
        </w:rPr>
        <w:t>10</w:t>
      </w:r>
      <w:r w:rsidRPr="00F63FFF">
        <w:rPr>
          <w:rFonts w:ascii="Times New Roman" w:eastAsia="Times New Roman" w:hAnsi="Times New Roman"/>
          <w:sz w:val="24"/>
          <w:szCs w:val="24"/>
          <w:vertAlign w:val="superscript"/>
        </w:rPr>
        <w:t>9</w:t>
      </w:r>
      <w:r w:rsidRPr="00F63FFF">
        <w:rPr>
          <w:rFonts w:ascii="Times New Roman" w:eastAsia="Times New Roman" w:hAnsi="Times New Roman"/>
          <w:sz w:val="24"/>
          <w:szCs w:val="24"/>
        </w:rPr>
        <w:t>/л и ниже и/или абсолютное число нейтрофилов (АЧН) снижается до 1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 x </w:t>
      </w:r>
      <w:r w:rsidRPr="00F63FFF">
        <w:rPr>
          <w:rFonts w:ascii="Times New Roman" w:eastAsia="Times New Roman" w:hAnsi="Times New Roman"/>
          <w:sz w:val="24"/>
          <w:szCs w:val="24"/>
        </w:rPr>
        <w:t>10</w:t>
      </w:r>
      <w:r w:rsidRPr="00F63FFF">
        <w:rPr>
          <w:rFonts w:ascii="Times New Roman" w:eastAsia="Times New Roman" w:hAnsi="Times New Roman"/>
          <w:sz w:val="24"/>
          <w:szCs w:val="24"/>
          <w:vertAlign w:val="superscript"/>
        </w:rPr>
        <w:t>9</w:t>
      </w:r>
      <w:r w:rsidRPr="00F63FFF">
        <w:rPr>
          <w:rFonts w:ascii="Times New Roman" w:eastAsia="Times New Roman" w:hAnsi="Times New Roman"/>
          <w:sz w:val="24"/>
          <w:szCs w:val="24"/>
        </w:rPr>
        <w:t>/л и ниже.</w:t>
      </w:r>
    </w:p>
    <w:p w14:paraId="2025BE84" w14:textId="0E3B3DC0" w:rsidR="002F7082" w:rsidRPr="00F63FFF" w:rsidRDefault="0094270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>Восстановлением считается повышение количества клеток в клеточной(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ых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>) линии(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ях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), в которых наблюдалась гематологическая токсичность, на, по меньшей мере, сумму надира и половины </w:t>
      </w:r>
      <w:r w:rsidR="003546AC" w:rsidRPr="00F63FFF">
        <w:rPr>
          <w:rFonts w:ascii="Times New Roman" w:eastAsia="Times New Roman" w:hAnsi="Times New Roman"/>
          <w:sz w:val="24"/>
          <w:szCs w:val="24"/>
        </w:rPr>
        <w:t xml:space="preserve">абсолютной </w:t>
      </w:r>
      <w:r w:rsidRPr="00F63FFF">
        <w:rPr>
          <w:rFonts w:ascii="Times New Roman" w:eastAsia="Times New Roman" w:hAnsi="Times New Roman"/>
          <w:sz w:val="24"/>
          <w:szCs w:val="24"/>
        </w:rPr>
        <w:t>разницы между исходным количеством клеток и надиром (т.е., количество клеток при восстановлении ≥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 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надир + (0,5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 x </w:t>
      </w:r>
      <w:r w:rsidRPr="00F63FFF">
        <w:rPr>
          <w:rFonts w:ascii="Times New Roman" w:eastAsia="Times New Roman" w:hAnsi="Times New Roman"/>
          <w:sz w:val="24"/>
          <w:szCs w:val="24"/>
        </w:rPr>
        <w:t>[</w:t>
      </w:r>
      <w:bookmarkStart w:id="8" w:name="_Hlk118112185"/>
      <w:r w:rsidR="003546AC" w:rsidRPr="00F63FFF">
        <w:rPr>
          <w:rFonts w:ascii="Arial" w:hAnsi="Arial" w:cs="Arial"/>
          <w:sz w:val="21"/>
          <w:szCs w:val="21"/>
          <w:shd w:val="clear" w:color="auto" w:fill="FFFFFF"/>
        </w:rPr>
        <w:t>|</w:t>
      </w:r>
      <w:bookmarkEnd w:id="8"/>
      <w:r w:rsidRPr="00F63FFF">
        <w:rPr>
          <w:rFonts w:ascii="Times New Roman" w:eastAsia="Times New Roman" w:hAnsi="Times New Roman"/>
          <w:sz w:val="24"/>
          <w:szCs w:val="24"/>
        </w:rPr>
        <w:t>исходное количество – надир</w:t>
      </w:r>
      <w:r w:rsidR="003546AC" w:rsidRPr="00F63FFF">
        <w:rPr>
          <w:rFonts w:ascii="Arial" w:hAnsi="Arial" w:cs="Arial"/>
          <w:sz w:val="21"/>
          <w:szCs w:val="21"/>
          <w:shd w:val="clear" w:color="auto" w:fill="FFFFFF"/>
        </w:rPr>
        <w:t>|</w:t>
      </w:r>
      <w:r w:rsidRPr="00F63FFF">
        <w:rPr>
          <w:rFonts w:ascii="Times New Roman" w:eastAsia="Times New Roman" w:hAnsi="Times New Roman"/>
          <w:sz w:val="24"/>
          <w:szCs w:val="24"/>
        </w:rPr>
        <w:t>]).</w:t>
      </w:r>
    </w:p>
    <w:p w14:paraId="630A95BC" w14:textId="55B2CD31" w:rsidR="002F7082" w:rsidRPr="00F63FFF" w:rsidRDefault="0094270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Пациенты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 без снижения исходных </w:t>
      </w: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 xml:space="preserve">(до начала терапии препаратом </w:t>
      </w:r>
      <w:proofErr w:type="spellStart"/>
      <w:r w:rsidR="00BF7DB7">
        <w:rPr>
          <w:rFonts w:ascii="Times New Roman" w:eastAsia="Times New Roman" w:hAnsi="Times New Roman"/>
          <w:i/>
          <w:iCs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i/>
          <w:iCs/>
          <w:sz w:val="24"/>
          <w:szCs w:val="24"/>
        </w:rPr>
        <w:t xml:space="preserve">) </w:t>
      </w:r>
      <w:r w:rsidRPr="00F63FFF">
        <w:rPr>
          <w:rFonts w:ascii="Times New Roman" w:eastAsia="Times New Roman" w:hAnsi="Times New Roman"/>
          <w:i/>
          <w:sz w:val="24"/>
          <w:szCs w:val="24"/>
        </w:rPr>
        <w:t>показателей количества лейкоцитов ≥3,0 х 10</w:t>
      </w:r>
      <w:r w:rsidRPr="00F63FFF">
        <w:rPr>
          <w:rFonts w:ascii="Times New Roman" w:eastAsia="Times New Roman" w:hAnsi="Times New Roman"/>
          <w:i/>
          <w:sz w:val="24"/>
          <w:szCs w:val="24"/>
          <w:vertAlign w:val="superscript"/>
        </w:rPr>
        <w:t>9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/л, абсолютного числа нейтрофилов ≥1,5 </w:t>
      </w:r>
      <w:r w:rsidRPr="00F63FFF">
        <w:rPr>
          <w:rFonts w:ascii="Times New Roman" w:eastAsia="Times New Roman" w:hAnsi="Times New Roman"/>
          <w:i/>
          <w:sz w:val="24"/>
          <w:szCs w:val="24"/>
          <w:lang w:val="en-GB"/>
        </w:rPr>
        <w:t>x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 10</w:t>
      </w:r>
      <w:r w:rsidRPr="00F63FFF">
        <w:rPr>
          <w:rFonts w:ascii="Times New Roman" w:eastAsia="Times New Roman" w:hAnsi="Times New Roman"/>
          <w:i/>
          <w:sz w:val="24"/>
          <w:szCs w:val="24"/>
          <w:vertAlign w:val="superscript"/>
        </w:rPr>
        <w:t>9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/л, количества тромбоцитов ≥75,0 </w:t>
      </w:r>
      <w:r w:rsidRPr="00F63FFF">
        <w:rPr>
          <w:rFonts w:ascii="Times New Roman" w:eastAsia="Times New Roman" w:hAnsi="Times New Roman"/>
          <w:i/>
          <w:sz w:val="24"/>
          <w:szCs w:val="24"/>
          <w:lang w:val="en-GB"/>
        </w:rPr>
        <w:t>x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 10</w:t>
      </w:r>
      <w:r w:rsidRPr="00F63FFF">
        <w:rPr>
          <w:rFonts w:ascii="Times New Roman" w:eastAsia="Times New Roman" w:hAnsi="Times New Roman"/>
          <w:i/>
          <w:sz w:val="24"/>
          <w:szCs w:val="24"/>
          <w:vertAlign w:val="superscript"/>
        </w:rPr>
        <w:t>9</w:t>
      </w:r>
      <w:r w:rsidRPr="00F63FFF">
        <w:rPr>
          <w:rFonts w:ascii="Times New Roman" w:eastAsia="Times New Roman" w:hAnsi="Times New Roman"/>
          <w:i/>
          <w:sz w:val="24"/>
          <w:szCs w:val="24"/>
        </w:rPr>
        <w:t>/л</w:t>
      </w: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.</w:t>
      </w:r>
    </w:p>
    <w:p w14:paraId="281F2796" w14:textId="46794B83" w:rsidR="002F7082" w:rsidRPr="00F63FFF" w:rsidRDefault="0094270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Если на фоне лечения препаратом </w:t>
      </w:r>
      <w:proofErr w:type="spellStart"/>
      <w:r w:rsidR="00BF7DB7"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у этих пациентов появляются симптомы гематологической токсичности, следующий цикл лечения препаратом откладывается до восстановления количества тромбоцитов и абсолютного числа нейтрофилов до исходных значений. </w:t>
      </w:r>
    </w:p>
    <w:p w14:paraId="4E3E7A9C" w14:textId="77777777" w:rsidR="002F7082" w:rsidRPr="00F63FFF" w:rsidRDefault="0094270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Если продолжительность восстановительного периода не превышает 14 дней, изменения дозы препарата не требуется. </w:t>
      </w:r>
    </w:p>
    <w:p w14:paraId="4DF299B3" w14:textId="77777777" w:rsidR="0094270A" w:rsidRPr="00F63FFF" w:rsidRDefault="0094270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>Однако, если количество клеток крови не увеличилось до необходимого уровня в течение 14 дней, доза препарата должна быть снижена согласно рекомендациям, изложенным в таблице ниже. После изменения дозы продолжительность цикла терапии должна быть восстановлена до 28 дней.</w:t>
      </w:r>
    </w:p>
    <w:tbl>
      <w:tblPr>
        <w:tblW w:w="4913" w:type="pct"/>
        <w:jc w:val="center"/>
        <w:tblLook w:val="00A0" w:firstRow="1" w:lastRow="0" w:firstColumn="1" w:lastColumn="0" w:noHBand="0" w:noVBand="0"/>
      </w:tblPr>
      <w:tblGrid>
        <w:gridCol w:w="2902"/>
        <w:gridCol w:w="2351"/>
        <w:gridCol w:w="3644"/>
      </w:tblGrid>
      <w:tr w:rsidR="004821F7" w:rsidRPr="00F63FFF" w14:paraId="122075EC" w14:textId="77777777" w:rsidTr="0016725D">
        <w:trPr>
          <w:jc w:val="center"/>
        </w:trPr>
        <w:tc>
          <w:tcPr>
            <w:tcW w:w="295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FF387F" w14:textId="42F96774" w:rsidR="0094270A" w:rsidRPr="00F63FFF" w:rsidRDefault="003546AC" w:rsidP="0016725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Минимальное количество клеток крови в течение одного цикла терапии</w:t>
            </w:r>
          </w:p>
        </w:tc>
        <w:tc>
          <w:tcPr>
            <w:tcW w:w="20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27637C" w14:textId="488514A9" w:rsidR="0094270A" w:rsidRPr="00F63FFF" w:rsidRDefault="003546AC" w:rsidP="0054422B">
            <w:pPr>
              <w:keepLines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Доза для следующего цикла, если восстановление* количества клеток крови потребовало больше 14 дней (%)</w:t>
            </w:r>
          </w:p>
        </w:tc>
      </w:tr>
      <w:tr w:rsidR="004821F7" w:rsidRPr="00F63FFF" w14:paraId="7619F1FD" w14:textId="77777777" w:rsidTr="0016725D">
        <w:trPr>
          <w:jc w:val="center"/>
        </w:trPr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8AB77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Абсолютное число нейтрофилов, АЧН (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x 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/л)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6A7B5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Тромбоциты (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x 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/л)</w:t>
            </w:r>
          </w:p>
        </w:tc>
        <w:tc>
          <w:tcPr>
            <w:tcW w:w="20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C9C6D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21F7" w:rsidRPr="00F63FFF" w14:paraId="521E2918" w14:textId="77777777" w:rsidTr="0016725D">
        <w:trPr>
          <w:jc w:val="center"/>
        </w:trPr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5626E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ind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 xml:space="preserve">≤1,0 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E08FA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ind w:right="-19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 xml:space="preserve">≤50,0 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B31B1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50%</w:t>
            </w:r>
          </w:p>
        </w:tc>
      </w:tr>
      <w:tr w:rsidR="004821F7" w:rsidRPr="00F63FFF" w14:paraId="7FB33729" w14:textId="77777777" w:rsidTr="0016725D">
        <w:trPr>
          <w:jc w:val="center"/>
        </w:trPr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B56BB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ind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 xml:space="preserve">&gt;1,0 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B3C0B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ind w:right="-19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 xml:space="preserve">&gt;50,0 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B525B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</w:tbl>
    <w:p w14:paraId="19581263" w14:textId="77777777" w:rsidR="0016725D" w:rsidRPr="00F63FFF" w:rsidRDefault="0094270A" w:rsidP="0020532D">
      <w:pPr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63FFF">
        <w:rPr>
          <w:rFonts w:ascii="Times New Roman" w:eastAsia="Times New Roman" w:hAnsi="Times New Roman"/>
          <w:sz w:val="20"/>
          <w:szCs w:val="20"/>
        </w:rPr>
        <w:t xml:space="preserve">* количество клеток при восстановлении = количество ≥ надир + (0,5 </w:t>
      </w:r>
      <w:r w:rsidRPr="00F63FFF">
        <w:rPr>
          <w:rFonts w:ascii="Times New Roman" w:eastAsia="Times New Roman" w:hAnsi="Times New Roman"/>
          <w:sz w:val="20"/>
          <w:szCs w:val="20"/>
          <w:lang w:val="en-US"/>
        </w:rPr>
        <w:t>x</w:t>
      </w:r>
      <w:r w:rsidR="0016725D" w:rsidRPr="00F63FFF">
        <w:rPr>
          <w:rFonts w:ascii="Times New Roman" w:eastAsia="Times New Roman" w:hAnsi="Times New Roman"/>
          <w:sz w:val="20"/>
          <w:szCs w:val="20"/>
        </w:rPr>
        <w:t xml:space="preserve"> [исходное количество – надир])</w:t>
      </w:r>
    </w:p>
    <w:p w14:paraId="62C6286B" w14:textId="77777777" w:rsidR="0016725D" w:rsidRPr="00F63FFF" w:rsidRDefault="0016725D" w:rsidP="0020532D">
      <w:pPr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67098382" w14:textId="796B726E" w:rsidR="0016725D" w:rsidRPr="00F63FFF" w:rsidRDefault="0094270A" w:rsidP="00BF7DB7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63FFF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Пациенты со снижением исходных (до начала первой терапии препаратом </w:t>
      </w:r>
      <w:proofErr w:type="spellStart"/>
      <w:r w:rsidR="00BF7DB7">
        <w:rPr>
          <w:rFonts w:ascii="Times New Roman" w:eastAsia="Times New Roman" w:hAnsi="Times New Roman"/>
          <w:i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i/>
          <w:sz w:val="24"/>
          <w:szCs w:val="24"/>
        </w:rPr>
        <w:t>) показателей количества лейкоцитов &lt;3,0 х 10</w:t>
      </w:r>
      <w:r w:rsidRPr="00F63FFF">
        <w:rPr>
          <w:rFonts w:ascii="Times New Roman" w:eastAsia="Times New Roman" w:hAnsi="Times New Roman"/>
          <w:i/>
          <w:sz w:val="24"/>
          <w:szCs w:val="24"/>
          <w:vertAlign w:val="superscript"/>
        </w:rPr>
        <w:t>9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/л, абсолютного числа нейтрофилов &lt;1,5 </w:t>
      </w:r>
      <w:r w:rsidRPr="00F63FFF">
        <w:rPr>
          <w:rFonts w:ascii="Times New Roman" w:eastAsia="Times New Roman" w:hAnsi="Times New Roman"/>
          <w:i/>
          <w:sz w:val="24"/>
          <w:szCs w:val="24"/>
          <w:lang w:val="en-GB"/>
        </w:rPr>
        <w:t>x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 10</w:t>
      </w:r>
      <w:r w:rsidRPr="00F63FFF">
        <w:rPr>
          <w:rFonts w:ascii="Times New Roman" w:eastAsia="Times New Roman" w:hAnsi="Times New Roman"/>
          <w:i/>
          <w:sz w:val="24"/>
          <w:szCs w:val="24"/>
          <w:vertAlign w:val="superscript"/>
        </w:rPr>
        <w:t>9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/л, количества тромбоцитов &lt;75,0 </w:t>
      </w:r>
      <w:r w:rsidRPr="00F63FFF">
        <w:rPr>
          <w:rFonts w:ascii="Times New Roman" w:eastAsia="Times New Roman" w:hAnsi="Times New Roman"/>
          <w:i/>
          <w:sz w:val="24"/>
          <w:szCs w:val="24"/>
          <w:lang w:val="en-GB"/>
        </w:rPr>
        <w:t>x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 10</w:t>
      </w:r>
      <w:r w:rsidRPr="00F63FFF">
        <w:rPr>
          <w:rFonts w:ascii="Times New Roman" w:eastAsia="Times New Roman" w:hAnsi="Times New Roman"/>
          <w:i/>
          <w:sz w:val="24"/>
          <w:szCs w:val="24"/>
          <w:vertAlign w:val="superscript"/>
        </w:rPr>
        <w:t>9</w:t>
      </w:r>
      <w:r w:rsidRPr="00F63FFF">
        <w:rPr>
          <w:rFonts w:ascii="Times New Roman" w:eastAsia="Times New Roman" w:hAnsi="Times New Roman"/>
          <w:i/>
          <w:sz w:val="24"/>
          <w:szCs w:val="24"/>
        </w:rPr>
        <w:t>/л</w:t>
      </w:r>
    </w:p>
    <w:p w14:paraId="73070EFB" w14:textId="222BD95E" w:rsidR="0016725D" w:rsidRPr="00F63FFF" w:rsidRDefault="0094270A" w:rsidP="0020532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Если перед очередным циклом лечения препаратом </w:t>
      </w:r>
      <w:proofErr w:type="spellStart"/>
      <w:r w:rsidR="00BF7DB7"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наблюдается снижение количества лейкоцитов или абсолютного числа нейтрофилов или тромбоцитов менее или равное 50% от их исходных значений, или более 50%, но при наличии улучшения дифференциации любого клеточного ростка, схема введения препарата </w:t>
      </w:r>
      <w:proofErr w:type="spellStart"/>
      <w:r w:rsidR="00BF7DB7"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и его доза не должны меняться.</w:t>
      </w:r>
    </w:p>
    <w:p w14:paraId="70D69D94" w14:textId="0D6C8C36" w:rsidR="0094270A" w:rsidRPr="00F63FFF" w:rsidRDefault="0094270A" w:rsidP="0020532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Больным, у которых количество клеток крови снизилось более чем на 50% от исходного значения при отсутствии признаков улучшения дифференциации клеточного ростка, очередной цикл лечения препаратом </w:t>
      </w:r>
      <w:proofErr w:type="spellStart"/>
      <w:r w:rsidR="00BF7DB7"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должен быть отложен до восстановления абсолютного числа нейтрофилов и тромбоцитов. Если восстановление заняло не более 14 дней, корректировка дозы препарата </w:t>
      </w:r>
      <w:proofErr w:type="spellStart"/>
      <w:r w:rsidR="00BF7DB7"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не требуется. Если восстановление не было достигнуто в течение 14 дней, необходимо оценить клеточную насыщенность костного мозга. При показателе клеточной насыщенности &gt;50% изменение дозы препарата не требуется. Если клеточная насыщенность костного мозга ≤50%, лечение должно быть отложено, а доза снижена согласно рекомендациям, приведенным в таблице ниже:</w:t>
      </w:r>
    </w:p>
    <w:tbl>
      <w:tblPr>
        <w:tblpPr w:leftFromText="180" w:rightFromText="180" w:vertAnchor="text" w:horzAnchor="margin" w:tblpXSpec="center" w:tblpY="218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7"/>
        <w:gridCol w:w="3018"/>
        <w:gridCol w:w="2871"/>
      </w:tblGrid>
      <w:tr w:rsidR="004821F7" w:rsidRPr="00F63FFF" w14:paraId="0560C97A" w14:textId="77777777" w:rsidTr="002F7082">
        <w:trPr>
          <w:trHeight w:val="877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3445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n-GB"/>
              </w:rPr>
            </w:pPr>
            <w:proofErr w:type="spellStart"/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  <w:lang w:val="en-GB"/>
              </w:rPr>
              <w:t>Клеточн</w:t>
            </w:r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</w:rPr>
              <w:t>ая</w:t>
            </w:r>
            <w:proofErr w:type="spellEnd"/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  <w:lang w:val="en-GB"/>
              </w:rPr>
              <w:t>насыщен</w:t>
            </w:r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</w:rPr>
              <w:t>ность</w:t>
            </w:r>
            <w:proofErr w:type="spellEnd"/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  <w:lang w:val="en-GB"/>
              </w:rPr>
              <w:t>костного</w:t>
            </w:r>
            <w:proofErr w:type="spellEnd"/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  <w:lang w:val="en-GB"/>
              </w:rPr>
              <w:t>мозга</w:t>
            </w:r>
            <w:proofErr w:type="spellEnd"/>
          </w:p>
        </w:tc>
        <w:tc>
          <w:tcPr>
            <w:tcW w:w="3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E7F" w14:textId="4A6C4213" w:rsidR="0094270A" w:rsidRPr="00F63FFF" w:rsidRDefault="003546AC" w:rsidP="0020532D">
            <w:pPr>
              <w:keepLines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</w:rPr>
              <w:t>Доза для следующего цикла, если восстановление* количества клеток крови потребовало больше 14 дней (%)</w:t>
            </w:r>
          </w:p>
        </w:tc>
      </w:tr>
      <w:tr w:rsidR="004821F7" w:rsidRPr="00F63FFF" w14:paraId="65A0DB0C" w14:textId="77777777" w:rsidTr="002F7082">
        <w:trPr>
          <w:trHeight w:val="28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0E7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7FA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</w:rPr>
              <w:t>Восстановление*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≤21 день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B79D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iCs/>
                <w:sz w:val="24"/>
                <w:szCs w:val="24"/>
              </w:rPr>
              <w:t>Восстановление*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&gt;21 день</w:t>
            </w:r>
          </w:p>
        </w:tc>
      </w:tr>
      <w:tr w:rsidR="004821F7" w:rsidRPr="00F63FFF" w14:paraId="7435AF83" w14:textId="77777777" w:rsidTr="002F7082">
        <w:trPr>
          <w:trHeight w:val="239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5378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15-50%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2F4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14BF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50%</w:t>
            </w:r>
          </w:p>
        </w:tc>
      </w:tr>
      <w:tr w:rsidR="004821F7" w:rsidRPr="00F63FFF" w14:paraId="04E2966B" w14:textId="77777777" w:rsidTr="002F7082">
        <w:trPr>
          <w:trHeight w:val="86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2369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&lt;15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3F7F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C87F" w14:textId="77777777" w:rsidR="0094270A" w:rsidRPr="00F63FFF" w:rsidRDefault="0094270A" w:rsidP="0020532D">
            <w:pPr>
              <w:keepLines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33%</w:t>
            </w:r>
          </w:p>
        </w:tc>
      </w:tr>
    </w:tbl>
    <w:p w14:paraId="03B13807" w14:textId="77777777" w:rsidR="0094270A" w:rsidRPr="00F63FFF" w:rsidRDefault="0094270A" w:rsidP="0020532D">
      <w:pPr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63FFF">
        <w:rPr>
          <w:rFonts w:ascii="Times New Roman" w:eastAsia="Times New Roman" w:hAnsi="Times New Roman"/>
          <w:sz w:val="20"/>
          <w:szCs w:val="20"/>
        </w:rPr>
        <w:t xml:space="preserve">* количество клеток при восстановлении = количество ≥ надир + (0,5 </w:t>
      </w:r>
      <w:r w:rsidRPr="00F63FFF">
        <w:rPr>
          <w:rFonts w:ascii="Times New Roman" w:eastAsia="Times New Roman" w:hAnsi="Times New Roman"/>
          <w:sz w:val="20"/>
          <w:szCs w:val="20"/>
          <w:lang w:val="en-US"/>
        </w:rPr>
        <w:t>x</w:t>
      </w:r>
      <w:r w:rsidRPr="00F63FFF">
        <w:rPr>
          <w:rFonts w:ascii="Times New Roman" w:eastAsia="Times New Roman" w:hAnsi="Times New Roman"/>
          <w:sz w:val="20"/>
          <w:szCs w:val="20"/>
        </w:rPr>
        <w:t xml:space="preserve"> [исходное количество – надир])</w:t>
      </w:r>
    </w:p>
    <w:p w14:paraId="40BF1E03" w14:textId="77777777" w:rsidR="0094270A" w:rsidRPr="00F63FFF" w:rsidRDefault="0094270A" w:rsidP="0020532D">
      <w:pPr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B2200B3" w14:textId="5281A539" w:rsidR="00BF7DB7" w:rsidRPr="00F63FFF" w:rsidRDefault="0094270A" w:rsidP="0020532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После изменения дозы продолжительность </w:t>
      </w:r>
      <w:r w:rsidR="003546AC" w:rsidRPr="00F63FFF">
        <w:rPr>
          <w:rFonts w:ascii="Times New Roman" w:eastAsia="Times New Roman" w:hAnsi="Times New Roman"/>
          <w:sz w:val="24"/>
          <w:szCs w:val="24"/>
        </w:rPr>
        <w:t xml:space="preserve">следующего </w:t>
      </w:r>
      <w:r w:rsidRPr="00F63FFF">
        <w:rPr>
          <w:rFonts w:ascii="Times New Roman" w:eastAsia="Times New Roman" w:hAnsi="Times New Roman"/>
          <w:sz w:val="24"/>
          <w:szCs w:val="24"/>
        </w:rPr>
        <w:t>цикла терапии должна</w:t>
      </w:r>
      <w:r w:rsidR="0016725D" w:rsidRPr="00F63FFF">
        <w:rPr>
          <w:rFonts w:ascii="Times New Roman" w:eastAsia="Times New Roman" w:hAnsi="Times New Roman"/>
          <w:sz w:val="24"/>
          <w:szCs w:val="24"/>
        </w:rPr>
        <w:t xml:space="preserve"> быть восстановлена до 28 дней.</w:t>
      </w:r>
    </w:p>
    <w:p w14:paraId="60E97B14" w14:textId="78FE7347" w:rsidR="0094270A" w:rsidRPr="00F63FFF" w:rsidRDefault="00A267A1" w:rsidP="0020532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63FFF">
        <w:rPr>
          <w:rFonts w:ascii="Times New Roman" w:eastAsia="Times New Roman" w:hAnsi="Times New Roman"/>
          <w:b/>
          <w:sz w:val="24"/>
          <w:szCs w:val="24"/>
        </w:rPr>
        <w:t>Особые группы пациентов</w:t>
      </w:r>
    </w:p>
    <w:p w14:paraId="37ACF789" w14:textId="77777777" w:rsidR="00BF7DB7" w:rsidRPr="00F63FFF" w:rsidRDefault="00BF7DB7" w:rsidP="00BF7D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Пациенты пожилого возраста</w:t>
      </w:r>
    </w:p>
    <w:p w14:paraId="4402BA2C" w14:textId="43F7D2D6" w:rsidR="00BF7DB7" w:rsidRDefault="00BF7DB7" w:rsidP="0020532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Пожилым больным не требуется специального режима дозирования. Поскольку у пожилых пациентов вероятность нарушения функции почек выше, рекомендуется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мониторировать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функцию почек во время лечения.</w:t>
      </w:r>
    </w:p>
    <w:p w14:paraId="2806EA7D" w14:textId="77777777" w:rsidR="00BF7DB7" w:rsidRPr="00F63FFF" w:rsidRDefault="00BF7DB7" w:rsidP="00BF7DB7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Пациенты с почечной недостаточностью</w:t>
      </w:r>
    </w:p>
    <w:p w14:paraId="15603CBD" w14:textId="367F006E" w:rsidR="00BF7DB7" w:rsidRDefault="00BF7DB7" w:rsidP="0020532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>У пациентов с нарушениями функции почек</w:t>
      </w:r>
      <w:r w:rsidRPr="00F63FFF" w:rsidDel="009464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стартовую дозу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изменять не требуется</w:t>
      </w:r>
      <w:r>
        <w:rPr>
          <w:rFonts w:ascii="Times New Roman" w:eastAsia="Times New Roman" w:hAnsi="Times New Roman"/>
          <w:sz w:val="24"/>
          <w:szCs w:val="24"/>
        </w:rPr>
        <w:t xml:space="preserve"> (см. раздел 5.2)</w:t>
      </w:r>
      <w:r w:rsidRPr="00F63FFF">
        <w:rPr>
          <w:rFonts w:ascii="Times New Roman" w:eastAsia="Times New Roman" w:hAnsi="Times New Roman"/>
          <w:sz w:val="24"/>
          <w:szCs w:val="24"/>
        </w:rPr>
        <w:t>. При необъяснимом снижении концентрации бикарбонатов в сыворотке менее 20 ммоль/л доза препарата для следующего цикла терапии должна быть уменьшена на 50%. При необъяснимом повышении концентрации креатинина сыворотки крови или концентрации азота мочевины в крови в 2 раза или более от исходных значений или выше верхней границы нормы очередной цикл терапии должен быть отложен до восстановления этих параметров до нормальных или исходных значений, а доза препарата в следующем цикле должна быть снижена на 50%</w:t>
      </w:r>
      <w:r>
        <w:rPr>
          <w:rFonts w:ascii="Times New Roman" w:eastAsia="Times New Roman" w:hAnsi="Times New Roman"/>
          <w:sz w:val="24"/>
          <w:szCs w:val="24"/>
        </w:rPr>
        <w:t xml:space="preserve"> (см. раздел 4.4)</w:t>
      </w:r>
      <w:r w:rsidRPr="00F63FFF">
        <w:rPr>
          <w:rFonts w:ascii="Times New Roman" w:eastAsia="Times New Roman" w:hAnsi="Times New Roman"/>
          <w:sz w:val="24"/>
          <w:szCs w:val="24"/>
        </w:rPr>
        <w:t>.</w:t>
      </w:r>
    </w:p>
    <w:p w14:paraId="06821D96" w14:textId="77777777" w:rsidR="00AC729D" w:rsidRPr="00F63FFF" w:rsidRDefault="00AC729D" w:rsidP="00AC729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 xml:space="preserve">Пациенты с печеночной недостаточностью </w:t>
      </w:r>
    </w:p>
    <w:p w14:paraId="41405A98" w14:textId="4487E17B" w:rsidR="00AC729D" w:rsidRPr="00BF7DB7" w:rsidRDefault="00AC729D" w:rsidP="00AC729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>Специальных исследований у больных с нарушениями функций печени не проводилось</w:t>
      </w:r>
      <w:r>
        <w:rPr>
          <w:rFonts w:ascii="Times New Roman" w:eastAsia="Times New Roman" w:hAnsi="Times New Roman"/>
          <w:sz w:val="24"/>
          <w:szCs w:val="24"/>
        </w:rPr>
        <w:t xml:space="preserve"> (см. раздел 4.4)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. Больные с тяжелой печеночной недостаточностью должны тщательно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мониторироваться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для своевременного выявления нежелательных явлений. </w:t>
      </w:r>
      <w:r w:rsidRPr="00AC729D">
        <w:rPr>
          <w:rFonts w:ascii="Times New Roman" w:eastAsia="Times New Roman" w:hAnsi="Times New Roman"/>
          <w:sz w:val="24"/>
          <w:szCs w:val="24"/>
        </w:rPr>
        <w:t>Корректировка начальной дозы перед началом лечения у пациентов с нарушением функции печени не требуется; последующие изменения дозы должны осуществляться на основании лабораторных показателей крови.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AC729D">
        <w:rPr>
          <w:rFonts w:ascii="Times New Roman" w:eastAsia="Times New Roman" w:hAnsi="Times New Roman"/>
          <w:sz w:val="24"/>
          <w:szCs w:val="24"/>
        </w:rPr>
        <w:t xml:space="preserve"> противопоказан пациентам с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AC729D">
        <w:rPr>
          <w:rFonts w:ascii="Times New Roman" w:eastAsia="Times New Roman" w:hAnsi="Times New Roman"/>
          <w:sz w:val="24"/>
          <w:szCs w:val="24"/>
        </w:rPr>
        <w:t xml:space="preserve"> злокачественными опухолями печени в запущенной стадии (см. разделы 4.3 и 4.4).</w:t>
      </w:r>
    </w:p>
    <w:p w14:paraId="78238CAC" w14:textId="7E815E11" w:rsidR="00272EE1" w:rsidRPr="00F63FFF" w:rsidRDefault="00272EE1" w:rsidP="0020532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>Дети</w:t>
      </w:r>
    </w:p>
    <w:p w14:paraId="59E7D20A" w14:textId="28B633FD" w:rsidR="00AC729D" w:rsidRPr="00AC729D" w:rsidRDefault="00AC729D" w:rsidP="00AC729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729D">
        <w:rPr>
          <w:rFonts w:ascii="Times New Roman" w:eastAsia="Times New Roman" w:hAnsi="Times New Roman"/>
          <w:sz w:val="24"/>
          <w:szCs w:val="24"/>
        </w:rPr>
        <w:t xml:space="preserve">Безопасность и эффективность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AC729D">
        <w:rPr>
          <w:rFonts w:ascii="Times New Roman" w:eastAsia="Times New Roman" w:hAnsi="Times New Roman"/>
          <w:sz w:val="24"/>
          <w:szCs w:val="24"/>
        </w:rPr>
        <w:t xml:space="preserve"> у детей в возрасте от 0 до 17 лет </w:t>
      </w:r>
      <w:r>
        <w:rPr>
          <w:rFonts w:ascii="Times New Roman" w:eastAsia="Times New Roman" w:hAnsi="Times New Roman"/>
          <w:sz w:val="24"/>
          <w:szCs w:val="24"/>
        </w:rPr>
        <w:t>в настоящий момент</w:t>
      </w:r>
      <w:r w:rsidRPr="00AC729D">
        <w:rPr>
          <w:rFonts w:ascii="Times New Roman" w:eastAsia="Times New Roman" w:hAnsi="Times New Roman"/>
          <w:sz w:val="24"/>
          <w:szCs w:val="24"/>
        </w:rPr>
        <w:t xml:space="preserve"> не установлены.</w:t>
      </w:r>
    </w:p>
    <w:p w14:paraId="5D8B82DC" w14:textId="77777777" w:rsidR="00AC729D" w:rsidRDefault="00AC729D" w:rsidP="00AC729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729D">
        <w:rPr>
          <w:rFonts w:ascii="Times New Roman" w:eastAsia="Times New Roman" w:hAnsi="Times New Roman"/>
          <w:sz w:val="24"/>
          <w:szCs w:val="24"/>
        </w:rPr>
        <w:t>Имеющиеся в настоящее время данные описаны в разделах 4.8, 5.1 и 5.2, однако рекомендации по дозировке для этой возрастной группы дать невозможно.</w:t>
      </w:r>
    </w:p>
    <w:p w14:paraId="56D4A73A" w14:textId="7B7F4BCA" w:rsidR="00272EE1" w:rsidRPr="00F63FFF" w:rsidRDefault="00272EE1" w:rsidP="00AC729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63FFF">
        <w:rPr>
          <w:rFonts w:ascii="Times New Roman" w:eastAsia="Times New Roman" w:hAnsi="Times New Roman"/>
          <w:b/>
          <w:sz w:val="24"/>
          <w:szCs w:val="24"/>
        </w:rPr>
        <w:t>Способ применения</w:t>
      </w:r>
    </w:p>
    <w:p w14:paraId="31421F69" w14:textId="6952B27E" w:rsidR="00AC729D" w:rsidRPr="00AC729D" w:rsidRDefault="00AC729D" w:rsidP="00AC72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729D">
        <w:rPr>
          <w:rFonts w:ascii="Times New Roman" w:eastAsia="Times New Roman" w:hAnsi="Times New Roman"/>
          <w:sz w:val="24"/>
          <w:szCs w:val="24"/>
        </w:rPr>
        <w:t>Восстановленный препарат следует вводить подкожно в область плеча, бедра или живота.</w:t>
      </w:r>
    </w:p>
    <w:p w14:paraId="523AE4D0" w14:textId="567533D7" w:rsidR="00AC729D" w:rsidRPr="00AC729D" w:rsidRDefault="00AC729D" w:rsidP="00AC72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729D">
        <w:rPr>
          <w:rFonts w:ascii="Times New Roman" w:eastAsia="Times New Roman" w:hAnsi="Times New Roman"/>
          <w:sz w:val="24"/>
          <w:szCs w:val="24"/>
        </w:rPr>
        <w:t>Места инъекций необходимо чередовать: каждую новую инъекцию следует делать на расстоянии не менее 2,5 см от предыдущего места, при этом не следует вводить препарат в участки кожи, которые болезненны, покрасневшие, уплотнённые или имеют синяки.</w:t>
      </w:r>
    </w:p>
    <w:p w14:paraId="3868D9A1" w14:textId="77777777" w:rsidR="00AC729D" w:rsidRPr="00AC729D" w:rsidRDefault="00AC729D" w:rsidP="00AC7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C729D">
        <w:rPr>
          <w:rFonts w:ascii="Times New Roman" w:eastAsia="Times New Roman" w:hAnsi="Times New Roman"/>
          <w:sz w:val="24"/>
          <w:szCs w:val="24"/>
        </w:rPr>
        <w:t>После восстановления суспензию нельзя фильтровать.</w:t>
      </w:r>
    </w:p>
    <w:p w14:paraId="5A49A614" w14:textId="1EB5C7F7" w:rsidR="00AC729D" w:rsidRDefault="00AC729D" w:rsidP="00AC7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C729D">
        <w:rPr>
          <w:rFonts w:ascii="Times New Roman" w:eastAsia="Times New Roman" w:hAnsi="Times New Roman"/>
          <w:sz w:val="24"/>
          <w:szCs w:val="24"/>
        </w:rPr>
        <w:t xml:space="preserve">Инструкции по восстановлению препарата перед введением приведены </w:t>
      </w:r>
      <w:r w:rsidR="00954A84">
        <w:rPr>
          <w:rFonts w:ascii="Times New Roman" w:eastAsia="Times New Roman" w:hAnsi="Times New Roman"/>
          <w:sz w:val="24"/>
          <w:szCs w:val="24"/>
        </w:rPr>
        <w:t>в разделе 6.6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bookmarkEnd w:id="5"/>
    <w:bookmarkEnd w:id="7"/>
    <w:p w14:paraId="75D92C26" w14:textId="77777777" w:rsidR="00954A84" w:rsidRDefault="00954A84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71E638" w14:textId="0726C827" w:rsidR="002F7082" w:rsidRPr="00F63FFF" w:rsidRDefault="00DB406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9" w:name="_Hlk20834483"/>
      <w:r w:rsidR="002F7082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7B99A178" w14:textId="07C8DE58" w:rsidR="00E50028" w:rsidRPr="00F63FFF" w:rsidRDefault="00E50028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F63FF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72EE1" w:rsidRPr="00F63FFF">
        <w:rPr>
          <w:rFonts w:ascii="Times New Roman" w:eastAsia="Times New Roman" w:hAnsi="Times New Roman"/>
          <w:sz w:val="24"/>
          <w:szCs w:val="24"/>
        </w:rPr>
        <w:t>иперчувствительность</w:t>
      </w:r>
      <w:r w:rsidR="00383DA1" w:rsidRPr="00F63FFF">
        <w:rPr>
          <w:rFonts w:ascii="Times New Roman" w:eastAsia="Times New Roman" w:hAnsi="Times New Roman"/>
          <w:sz w:val="24"/>
          <w:szCs w:val="24"/>
        </w:rPr>
        <w:t xml:space="preserve"> к </w:t>
      </w:r>
      <w:r w:rsidR="00AA5F3E" w:rsidRPr="00F63FFF">
        <w:rPr>
          <w:rFonts w:ascii="Times New Roman" w:eastAsia="Times New Roman" w:hAnsi="Times New Roman"/>
          <w:sz w:val="24"/>
          <w:szCs w:val="24"/>
        </w:rPr>
        <w:t>действующему</w:t>
      </w:r>
      <w:r w:rsidR="00E67D51" w:rsidRPr="00F63FFF">
        <w:rPr>
          <w:rFonts w:ascii="Times New Roman" w:eastAsia="Times New Roman" w:hAnsi="Times New Roman"/>
          <w:sz w:val="24"/>
          <w:szCs w:val="24"/>
        </w:rPr>
        <w:t xml:space="preserve"> веществу</w:t>
      </w:r>
      <w:r w:rsidR="00383DA1" w:rsidRPr="00F63FFF">
        <w:rPr>
          <w:rFonts w:ascii="Times New Roman" w:eastAsia="Times New Roman" w:hAnsi="Times New Roman"/>
          <w:sz w:val="24"/>
          <w:szCs w:val="24"/>
        </w:rPr>
        <w:t xml:space="preserve"> или </w:t>
      </w:r>
      <w:r w:rsidR="00272EE1" w:rsidRPr="00F63FFF">
        <w:rPr>
          <w:rFonts w:ascii="Times New Roman" w:eastAsia="Times New Roman" w:hAnsi="Times New Roman"/>
          <w:sz w:val="24"/>
          <w:szCs w:val="24"/>
        </w:rPr>
        <w:t xml:space="preserve">к любому из вспомогательных веществ, перечисленных в разделе </w:t>
      </w:r>
      <w:r w:rsidR="00954A84">
        <w:rPr>
          <w:rFonts w:ascii="Times New Roman" w:eastAsia="Times New Roman" w:hAnsi="Times New Roman"/>
          <w:sz w:val="24"/>
          <w:szCs w:val="24"/>
        </w:rPr>
        <w:t>6.1</w:t>
      </w:r>
    </w:p>
    <w:p w14:paraId="4FD48276" w14:textId="690AF0BE" w:rsidR="00E50028" w:rsidRPr="00F63FFF" w:rsidRDefault="00E50028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="00AC2FEC" w:rsidRPr="00AC2FE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прогрессирующие злокачественные опухоли печени </w:t>
      </w:r>
      <w:r w:rsidR="00954A84">
        <w:rPr>
          <w:rFonts w:ascii="Times New Roman" w:eastAsia="Times New Roman" w:hAnsi="Times New Roman"/>
          <w:sz w:val="24"/>
          <w:szCs w:val="24"/>
        </w:rPr>
        <w:t>(см. раздел 4.4)</w:t>
      </w:r>
    </w:p>
    <w:p w14:paraId="269DCB1A" w14:textId="490D3A46" w:rsidR="00E50028" w:rsidRPr="00F63FFF" w:rsidRDefault="00E50028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="00AC2FEC" w:rsidRPr="00AC2FE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кормления грудью </w:t>
      </w:r>
      <w:r w:rsidR="00954A84">
        <w:rPr>
          <w:rFonts w:ascii="Times New Roman" w:eastAsia="Times New Roman" w:hAnsi="Times New Roman"/>
          <w:sz w:val="24"/>
          <w:szCs w:val="24"/>
        </w:rPr>
        <w:t>(см. раздел 4.6)</w:t>
      </w:r>
    </w:p>
    <w:bookmarkEnd w:id="9"/>
    <w:p w14:paraId="2D4B61BE" w14:textId="77777777" w:rsidR="0020532D" w:rsidRPr="00F63FFF" w:rsidRDefault="0020532D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F187D8" w14:textId="77777777" w:rsidR="00E50028" w:rsidRPr="00F63FFF" w:rsidRDefault="00DB406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F63FFF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2FF550CC" w14:textId="77777777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i/>
          <w:iCs/>
          <w:noProof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noProof/>
          <w:sz w:val="24"/>
          <w:szCs w:val="24"/>
        </w:rPr>
        <w:t>Гематологическая</w:t>
      </w: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i/>
          <w:iCs/>
          <w:noProof/>
          <w:sz w:val="24"/>
          <w:szCs w:val="24"/>
        </w:rPr>
        <w:t>токсичность</w:t>
      </w:r>
    </w:p>
    <w:p w14:paraId="71296817" w14:textId="117A879D" w:rsidR="00383DA1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Наиболее частыми побочными эффектами при лечении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>, преимущественно в течение первых 2 циклов, являлись тромбоцитопения, нейтропения и лейкопения</w:t>
      </w:r>
      <w:r w:rsidR="005B1566">
        <w:rPr>
          <w:rFonts w:ascii="Times New Roman" w:eastAsia="Times New Roman" w:hAnsi="Times New Roman"/>
          <w:sz w:val="24"/>
          <w:szCs w:val="24"/>
        </w:rPr>
        <w:t xml:space="preserve"> (см. раздел 4.8)</w:t>
      </w:r>
      <w:r w:rsidRPr="00F63FFF">
        <w:rPr>
          <w:rFonts w:ascii="Times New Roman" w:eastAsia="Times New Roman" w:hAnsi="Times New Roman"/>
          <w:sz w:val="24"/>
          <w:szCs w:val="24"/>
        </w:rPr>
        <w:t>. При необходимости и по меньшей мере перед каждым циклом лечения следует выполнять развернутый клинический анализ крови для контроля эффективности терапии и возможных проявлений токсичности. После введения рекомендованной дозы первого цикла доза для следующего цикла может быть снижена или ее введение может быть отложено на основании оценки надира и гематологического ответа</w:t>
      </w:r>
      <w:r w:rsidR="005B1566">
        <w:rPr>
          <w:rFonts w:ascii="Times New Roman" w:eastAsia="Times New Roman" w:hAnsi="Times New Roman"/>
          <w:sz w:val="24"/>
          <w:szCs w:val="24"/>
        </w:rPr>
        <w:t xml:space="preserve"> (см. раздел 4.2)</w:t>
      </w:r>
      <w:r w:rsidRPr="00F63FFF">
        <w:rPr>
          <w:rFonts w:ascii="Times New Roman" w:eastAsia="Times New Roman" w:hAnsi="Times New Roman"/>
          <w:sz w:val="24"/>
          <w:szCs w:val="24"/>
        </w:rPr>
        <w:t>. Пациентам рекомендуют немедленно сообщать о повышении температуры тела (лихорадке). Медицинский персонал и пациент должны получить указания о необходимости контролировать признаки и симптомы, позволяющие диагностировать кровотечение.</w:t>
      </w:r>
    </w:p>
    <w:p w14:paraId="5C8B2D38" w14:textId="77777777" w:rsidR="00E50028" w:rsidRPr="00F63FFF" w:rsidRDefault="001F3197" w:rsidP="0020532D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Печеночная недостаточность</w:t>
      </w:r>
    </w:p>
    <w:p w14:paraId="70497CA0" w14:textId="7FD8C3AC" w:rsidR="006D4215" w:rsidRPr="006D4215" w:rsidRDefault="00383DA1" w:rsidP="006D42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Специальных исследований с участием больных с нарушениями функции печени не проводилось. </w:t>
      </w:r>
      <w:r w:rsidR="006D4215" w:rsidRPr="006D4215">
        <w:rPr>
          <w:rFonts w:ascii="Times New Roman" w:eastAsia="Times New Roman" w:hAnsi="Times New Roman"/>
          <w:sz w:val="24"/>
          <w:szCs w:val="24"/>
        </w:rPr>
        <w:t xml:space="preserve">У пациентов с обширным опухолевым поражением на фоне метастатического процесса во время лечения </w:t>
      </w:r>
      <w:proofErr w:type="spellStart"/>
      <w:r w:rsidR="006D4215" w:rsidRPr="006D4215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="006D4215" w:rsidRPr="006D4215">
        <w:rPr>
          <w:rFonts w:ascii="Times New Roman" w:eastAsia="Times New Roman" w:hAnsi="Times New Roman"/>
          <w:sz w:val="24"/>
          <w:szCs w:val="24"/>
        </w:rPr>
        <w:t xml:space="preserve"> сообщалось о случаях прогрессирующей печёночной комы и летального исхода, особенно у тех, у кого исходный уровень альбумина в сыворотке был ниже 30 г/л.</w:t>
      </w:r>
    </w:p>
    <w:p w14:paraId="38751CA5" w14:textId="39D7A69B" w:rsidR="006D4215" w:rsidRPr="006D4215" w:rsidRDefault="006D4215" w:rsidP="006D42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4215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6D4215">
        <w:rPr>
          <w:rFonts w:ascii="Times New Roman" w:eastAsia="Times New Roman" w:hAnsi="Times New Roman"/>
          <w:sz w:val="24"/>
          <w:szCs w:val="24"/>
        </w:rPr>
        <w:t xml:space="preserve"> противопоказан пациентам с запущенными злокачественными опухолями печени (см. раздел 4.3).</w:t>
      </w:r>
    </w:p>
    <w:p w14:paraId="181F597D" w14:textId="77777777" w:rsidR="00E50028" w:rsidRPr="00F63FFF" w:rsidRDefault="001F3197" w:rsidP="0020532D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Почечная недостаточность</w:t>
      </w:r>
    </w:p>
    <w:p w14:paraId="4CAC1F99" w14:textId="77777777" w:rsidR="006D4215" w:rsidRPr="006D4215" w:rsidRDefault="006D4215" w:rsidP="006D42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4215">
        <w:rPr>
          <w:rFonts w:ascii="Times New Roman" w:eastAsia="Times New Roman" w:hAnsi="Times New Roman"/>
          <w:sz w:val="24"/>
          <w:szCs w:val="24"/>
        </w:rPr>
        <w:t xml:space="preserve">Сообщалось о случаях нарушения функции почек — от повышения уровня креатинина в сыворотке до почечной недостаточности и летального исхода — у пациентов, получавших внутривенный </w:t>
      </w:r>
      <w:proofErr w:type="spellStart"/>
      <w:r w:rsidRPr="006D4215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6D4215">
        <w:rPr>
          <w:rFonts w:ascii="Times New Roman" w:eastAsia="Times New Roman" w:hAnsi="Times New Roman"/>
          <w:sz w:val="24"/>
          <w:szCs w:val="24"/>
        </w:rPr>
        <w:t xml:space="preserve"> в комбинации с другими химиотерапевтическими средствами.</w:t>
      </w:r>
    </w:p>
    <w:p w14:paraId="02451C42" w14:textId="77777777" w:rsidR="006D4215" w:rsidRPr="006D4215" w:rsidRDefault="006D4215" w:rsidP="006D42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4215">
        <w:rPr>
          <w:rFonts w:ascii="Times New Roman" w:eastAsia="Times New Roman" w:hAnsi="Times New Roman"/>
          <w:sz w:val="24"/>
          <w:szCs w:val="24"/>
        </w:rPr>
        <w:t xml:space="preserve">Кроме того, у 5 пациентов с хроническим </w:t>
      </w:r>
      <w:proofErr w:type="spellStart"/>
      <w:r w:rsidRPr="006D4215">
        <w:rPr>
          <w:rFonts w:ascii="Times New Roman" w:eastAsia="Times New Roman" w:hAnsi="Times New Roman"/>
          <w:sz w:val="24"/>
          <w:szCs w:val="24"/>
        </w:rPr>
        <w:t>миелолейкозом</w:t>
      </w:r>
      <w:proofErr w:type="spellEnd"/>
      <w:r w:rsidRPr="006D4215">
        <w:rPr>
          <w:rFonts w:ascii="Times New Roman" w:eastAsia="Times New Roman" w:hAnsi="Times New Roman"/>
          <w:sz w:val="24"/>
          <w:szCs w:val="24"/>
        </w:rPr>
        <w:t xml:space="preserve"> (ХМЛ), получавших </w:t>
      </w:r>
      <w:proofErr w:type="spellStart"/>
      <w:r w:rsidRPr="006D4215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6D4215">
        <w:rPr>
          <w:rFonts w:ascii="Times New Roman" w:eastAsia="Times New Roman" w:hAnsi="Times New Roman"/>
          <w:sz w:val="24"/>
          <w:szCs w:val="24"/>
        </w:rPr>
        <w:t xml:space="preserve"> в комбинации с </w:t>
      </w:r>
      <w:proofErr w:type="spellStart"/>
      <w:r w:rsidRPr="006D4215">
        <w:rPr>
          <w:rFonts w:ascii="Times New Roman" w:eastAsia="Times New Roman" w:hAnsi="Times New Roman"/>
          <w:sz w:val="24"/>
          <w:szCs w:val="24"/>
        </w:rPr>
        <w:t>этопозидом</w:t>
      </w:r>
      <w:proofErr w:type="spellEnd"/>
      <w:r w:rsidRPr="006D4215">
        <w:rPr>
          <w:rFonts w:ascii="Times New Roman" w:eastAsia="Times New Roman" w:hAnsi="Times New Roman"/>
          <w:sz w:val="24"/>
          <w:szCs w:val="24"/>
        </w:rPr>
        <w:t xml:space="preserve">, развился почечный </w:t>
      </w:r>
      <w:proofErr w:type="spellStart"/>
      <w:r w:rsidRPr="006D4215">
        <w:rPr>
          <w:rFonts w:ascii="Times New Roman" w:eastAsia="Times New Roman" w:hAnsi="Times New Roman"/>
          <w:sz w:val="24"/>
          <w:szCs w:val="24"/>
        </w:rPr>
        <w:t>канальцевый</w:t>
      </w:r>
      <w:proofErr w:type="spellEnd"/>
      <w:r w:rsidRPr="006D4215">
        <w:rPr>
          <w:rFonts w:ascii="Times New Roman" w:eastAsia="Times New Roman" w:hAnsi="Times New Roman"/>
          <w:sz w:val="24"/>
          <w:szCs w:val="24"/>
        </w:rPr>
        <w:t xml:space="preserve"> ацидоз, который определялся как снижение уровня бикарбоната в сыворотке &lt; 20 ммоль/л в сочетании с щелочной реакцией мочи и </w:t>
      </w:r>
      <w:proofErr w:type="spellStart"/>
      <w:r w:rsidRPr="006D4215">
        <w:rPr>
          <w:rFonts w:ascii="Times New Roman" w:eastAsia="Times New Roman" w:hAnsi="Times New Roman"/>
          <w:sz w:val="24"/>
          <w:szCs w:val="24"/>
        </w:rPr>
        <w:t>гипокалиемией</w:t>
      </w:r>
      <w:proofErr w:type="spellEnd"/>
      <w:r w:rsidRPr="006D4215">
        <w:rPr>
          <w:rFonts w:ascii="Times New Roman" w:eastAsia="Times New Roman" w:hAnsi="Times New Roman"/>
          <w:sz w:val="24"/>
          <w:szCs w:val="24"/>
        </w:rPr>
        <w:t xml:space="preserve"> (калий в сыворотке &lt; 3 ммоль/л).</w:t>
      </w:r>
    </w:p>
    <w:p w14:paraId="3059C421" w14:textId="77777777" w:rsidR="006D4215" w:rsidRPr="006D4215" w:rsidRDefault="006D4215" w:rsidP="006D42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4215">
        <w:rPr>
          <w:rFonts w:ascii="Times New Roman" w:eastAsia="Times New Roman" w:hAnsi="Times New Roman"/>
          <w:sz w:val="24"/>
          <w:szCs w:val="24"/>
        </w:rPr>
        <w:lastRenderedPageBreak/>
        <w:t>При необъяснимом снижении бикарбоната (&lt; 20 ммоль/л), а также при повышении креатинина в сыворотке или мочевины (BUN), дозу препарата следует снизить или отложить введение (см. раздел 4.2).</w:t>
      </w:r>
    </w:p>
    <w:p w14:paraId="7EC5E9A6" w14:textId="3D8A37F6" w:rsidR="006D4215" w:rsidRPr="006D4215" w:rsidRDefault="006D4215" w:rsidP="006D42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4215">
        <w:rPr>
          <w:rFonts w:ascii="Times New Roman" w:eastAsia="Times New Roman" w:hAnsi="Times New Roman"/>
          <w:sz w:val="24"/>
          <w:szCs w:val="24"/>
        </w:rPr>
        <w:t xml:space="preserve">Пациентам следует немедленно сообщать врачу о появлении </w:t>
      </w:r>
      <w:proofErr w:type="spellStart"/>
      <w:r w:rsidRPr="006D4215">
        <w:rPr>
          <w:rFonts w:ascii="Times New Roman" w:eastAsia="Times New Roman" w:hAnsi="Times New Roman"/>
          <w:sz w:val="24"/>
          <w:szCs w:val="24"/>
        </w:rPr>
        <w:t>олигоурии</w:t>
      </w:r>
      <w:proofErr w:type="spellEnd"/>
      <w:r w:rsidRPr="006D4215">
        <w:rPr>
          <w:rFonts w:ascii="Times New Roman" w:eastAsia="Times New Roman" w:hAnsi="Times New Roman"/>
          <w:sz w:val="24"/>
          <w:szCs w:val="24"/>
        </w:rPr>
        <w:t xml:space="preserve"> (уменьшение объема мочи) или анурии (отсутствие мочеиспускания).</w:t>
      </w:r>
    </w:p>
    <w:p w14:paraId="09A176F9" w14:textId="77777777" w:rsidR="006D4215" w:rsidRPr="006D4215" w:rsidRDefault="006D4215" w:rsidP="006D42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4215">
        <w:rPr>
          <w:rFonts w:ascii="Times New Roman" w:eastAsia="Times New Roman" w:hAnsi="Times New Roman"/>
          <w:sz w:val="24"/>
          <w:szCs w:val="24"/>
        </w:rPr>
        <w:t xml:space="preserve">Хотя клинически значимых различий в частоте побочных реакций у пациентов с нормальной функцией почек и нарушенной функцией почек не наблюдалось, пациенты с почечной недостаточностью должны находиться под тщательным наблюдением на предмет токсичности, поскольку </w:t>
      </w:r>
      <w:proofErr w:type="spellStart"/>
      <w:r w:rsidRPr="006D4215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6D4215">
        <w:rPr>
          <w:rFonts w:ascii="Times New Roman" w:eastAsia="Times New Roman" w:hAnsi="Times New Roman"/>
          <w:sz w:val="24"/>
          <w:szCs w:val="24"/>
        </w:rPr>
        <w:t xml:space="preserve"> и/или его метаболиты выводятся преимущественно почками (см. раздел 4.2).</w:t>
      </w:r>
    </w:p>
    <w:p w14:paraId="611C9FFA" w14:textId="77777777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noProof/>
          <w:sz w:val="24"/>
          <w:szCs w:val="24"/>
        </w:rPr>
        <w:t>Лабораторные тесты</w:t>
      </w:r>
    </w:p>
    <w:p w14:paraId="2A1C0B92" w14:textId="5647D995" w:rsidR="00C45193" w:rsidRPr="00C45193" w:rsidRDefault="00C45193" w:rsidP="00C451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5193">
        <w:rPr>
          <w:rFonts w:ascii="Times New Roman" w:eastAsia="Times New Roman" w:hAnsi="Times New Roman"/>
          <w:sz w:val="24"/>
          <w:szCs w:val="24"/>
        </w:rPr>
        <w:t>Показатели функции печени, уровень креатинина в сыворотке и бикарбоната в сыворотке необходимо определять до начала терапии и перед каждым курсом лечения.</w:t>
      </w:r>
    </w:p>
    <w:p w14:paraId="307D6992" w14:textId="77777777" w:rsidR="00C45193" w:rsidRDefault="00C45193" w:rsidP="00C451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5193">
        <w:rPr>
          <w:rFonts w:ascii="Times New Roman" w:eastAsia="Times New Roman" w:hAnsi="Times New Roman"/>
          <w:sz w:val="24"/>
          <w:szCs w:val="24"/>
        </w:rPr>
        <w:t>Развёрнутый общий анализ крови должен проводиться до начала терапии и по мере необходимости для оценки ответа на лечение и выявления токсичности, но как минимум — перед каждым циклом терапии (см. также раздел 4.8).</w:t>
      </w:r>
    </w:p>
    <w:p w14:paraId="78CC8DAC" w14:textId="1441844E" w:rsidR="00E50028" w:rsidRPr="00F63FFF" w:rsidRDefault="00383DA1" w:rsidP="00C4519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noProof/>
          <w:sz w:val="24"/>
          <w:szCs w:val="24"/>
        </w:rPr>
        <w:t>Сердечно-сосудистые и легочные заболевания</w:t>
      </w:r>
    </w:p>
    <w:p w14:paraId="5A63F5DF" w14:textId="436FD4D0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>Пациенты, страдающие тяжелой застойной сердечной недостаточностью, клинически нестабильным заболеванием сердца или заболеваниями легких, не были включены в основные регистрационные исследования (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AZA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PH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GL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2003 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CL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001 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and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AZA</w:t>
      </w:r>
      <w:r w:rsidRPr="00F63FFF">
        <w:rPr>
          <w:rFonts w:ascii="Times New Roman" w:eastAsia="Times New Roman" w:hAnsi="Times New Roman"/>
          <w:sz w:val="24"/>
          <w:szCs w:val="24"/>
        </w:rPr>
        <w:t>-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AML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-001), поэтому безопасность и эффективность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для них не установлена. Данные, полученные в ходе недавних клинических исследований у пациентов, имеющих в анамнезе сердечно-сосудистые заболевания или заболевания легких, показали, что частота нежелательных сердечно-сосудистых явлений существенно выше на фоне терапии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(см. раздел </w:t>
      </w:r>
      <w:r w:rsidR="00C9265E" w:rsidRPr="00F63FFF">
        <w:rPr>
          <w:rFonts w:ascii="Times New Roman" w:eastAsia="Times New Roman" w:hAnsi="Times New Roman"/>
          <w:sz w:val="24"/>
          <w:szCs w:val="24"/>
        </w:rPr>
        <w:t>4.8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), поэтому данной категории больных препарат </w:t>
      </w:r>
      <w:proofErr w:type="spellStart"/>
      <w:r w:rsidR="00095456"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следует назначать с осторожностью. До начала лечения и во время терапии препаратом </w:t>
      </w:r>
      <w:proofErr w:type="spellStart"/>
      <w:r w:rsidR="00095456"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рекомендуется оценивать функциональное состояние сердечно-сосудистой и легочной системы.</w:t>
      </w:r>
    </w:p>
    <w:p w14:paraId="47DC458D" w14:textId="77777777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i/>
          <w:noProof/>
          <w:sz w:val="24"/>
          <w:szCs w:val="24"/>
        </w:rPr>
        <w:t>Некротизирующий фасциит</w:t>
      </w:r>
    </w:p>
    <w:p w14:paraId="68650E62" w14:textId="77777777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noProof/>
          <w:sz w:val="24"/>
          <w:szCs w:val="24"/>
        </w:rPr>
        <w:t>Некротизирующий фасциит, в том числе с летальным исходом, регистрировался у пациентов на фоне применения препарата Вайдаза. Пациентам, у которых диагностирован  некротизирующий фасциит, следует прекратить терапию препаратом Вайдаза и незамедлительно начать соответствующее лечение.</w:t>
      </w:r>
      <w:r w:rsidRPr="00F63FFF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</w:t>
      </w:r>
    </w:p>
    <w:p w14:paraId="07E5AF7B" w14:textId="77777777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bCs/>
          <w:i/>
          <w:sz w:val="24"/>
          <w:szCs w:val="24"/>
        </w:rPr>
        <w:t>Синдром лизиса опухоли</w:t>
      </w:r>
    </w:p>
    <w:p w14:paraId="1189A80D" w14:textId="13457507" w:rsidR="00383DA1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63FFF">
        <w:rPr>
          <w:rFonts w:ascii="Times New Roman" w:eastAsia="Times New Roman" w:hAnsi="Times New Roman"/>
          <w:sz w:val="24"/>
          <w:szCs w:val="24"/>
        </w:rPr>
        <w:t>озможно развитие синдрома лизиса опухоли, особенно у пациентов, имеющих большую опухолевую массу. За этими пациентами должно быть организовано соответствующее наблюдение и применение общепринятых профилактических мер.</w:t>
      </w:r>
    </w:p>
    <w:p w14:paraId="42DFA796" w14:textId="77777777" w:rsidR="0001440B" w:rsidRPr="00F63FFF" w:rsidRDefault="0001440B" w:rsidP="0001440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proofErr w:type="spellStart"/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Дифференцировочный</w:t>
      </w:r>
      <w:proofErr w:type="spellEnd"/>
      <w:r w:rsidRPr="00F63FFF">
        <w:rPr>
          <w:rFonts w:ascii="Times New Roman" w:eastAsia="Times New Roman" w:hAnsi="Times New Roman"/>
          <w:i/>
          <w:iCs/>
          <w:sz w:val="24"/>
          <w:szCs w:val="24"/>
        </w:rPr>
        <w:t xml:space="preserve"> синдром</w:t>
      </w:r>
    </w:p>
    <w:p w14:paraId="6AA74FA1" w14:textId="0849BD55" w:rsidR="0001440B" w:rsidRPr="00F63FFF" w:rsidRDefault="0001440B" w:rsidP="000144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Сообщалось о случаях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дифференцировочного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синдрома (также известного как синдром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ретиноевой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кислоты) у пациентов, получавших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в виде инъекций.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Дифференцировочный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синдром может приводить к летальному исходу, его симптомы и клинические признаки включают респираторный дистресс-синдром, инфильтраты в легких, лихорадку, сыпь, отек легких, периферические отеки, быстрое увеличение массы тела, плевральный выпот, перикардиальный выпот, гипотензию и нарушение функции почек</w:t>
      </w:r>
      <w:r w:rsidR="00095456">
        <w:rPr>
          <w:rFonts w:ascii="Times New Roman" w:eastAsia="Times New Roman" w:hAnsi="Times New Roman"/>
          <w:sz w:val="24"/>
          <w:szCs w:val="24"/>
        </w:rPr>
        <w:t xml:space="preserve"> (см. раздел 4.8)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. При первом появлении симптомов или признаков, указывающих на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дифференцировочный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синдром, следует рассмотреть вопрос о применении высоких доз кортикостероидов внутривенно и гемодинамического мониторинга. Также следует рассмотреть вопрос о временном прекращении приема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в форме инъекций до устранения симптомов, а в случае возобновления приема препарата следует соблюдать осторожность.</w:t>
      </w:r>
    </w:p>
    <w:p w14:paraId="6900AE32" w14:textId="77777777" w:rsidR="0020532D" w:rsidRPr="00F63FFF" w:rsidRDefault="0020532D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27AC33" w14:textId="77777777" w:rsidR="00E50028" w:rsidRPr="00F63FFF" w:rsidRDefault="00DB406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</w:t>
      </w:r>
      <w:r w:rsidR="00B05BD1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</w:t>
      </w:r>
      <w:bookmarkStart w:id="10" w:name="_Hlk20834595"/>
      <w:r w:rsidR="00E50028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гими лекарственными препаратами</w:t>
      </w:r>
      <w:r w:rsidR="009862CB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3F05F9EB" w14:textId="77777777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Данные исследований </w:t>
      </w:r>
      <w:r w:rsidRPr="00F63FFF">
        <w:rPr>
          <w:rFonts w:ascii="Times New Roman" w:eastAsia="Times New Roman" w:hAnsi="Times New Roman"/>
          <w:i/>
          <w:sz w:val="24"/>
          <w:szCs w:val="24"/>
          <w:lang w:val="en-US"/>
        </w:rPr>
        <w:t>in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i/>
          <w:sz w:val="24"/>
          <w:szCs w:val="24"/>
          <w:lang w:val="en-US"/>
        </w:rPr>
        <w:t>vitro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свидетельствуют о том, что участие изоферментов системы цитохрома Р450, 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UDP</w:t>
      </w:r>
      <w:r w:rsidRPr="00F63FFF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глюкуронилтрансферазы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сульфотрансферазы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глютатионтрансферазы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в метаболизме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маловероятно. </w:t>
      </w:r>
    </w:p>
    <w:p w14:paraId="63517A98" w14:textId="77777777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В связи с этим, взаимодействие </w:t>
      </w:r>
      <w:r w:rsidRPr="00F63FFF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in</w:t>
      </w: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vivo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с данными ферментами, участвующими в метаболизме, не представляется клинически значимым.</w:t>
      </w:r>
    </w:p>
    <w:p w14:paraId="47D90B56" w14:textId="77777777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Клинически значимое ингибирующее или индуцирующее действие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на ферменты цитохрома Р450 маловероятно.</w:t>
      </w:r>
    </w:p>
    <w:p w14:paraId="6C94AE38" w14:textId="69285C9B" w:rsidR="00383DA1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Клинических исследований для изучения взаимодействия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 другими лекарственными препаратами не проводилось</w:t>
      </w:r>
      <w:r w:rsidR="00095456">
        <w:rPr>
          <w:rFonts w:ascii="Times New Roman" w:eastAsia="Times New Roman" w:hAnsi="Times New Roman"/>
          <w:sz w:val="24"/>
          <w:szCs w:val="24"/>
        </w:rPr>
        <w:t xml:space="preserve"> (см. раздел 5.2)</w:t>
      </w:r>
      <w:r w:rsidRPr="00F63FFF">
        <w:rPr>
          <w:rFonts w:ascii="Times New Roman" w:eastAsia="Times New Roman" w:hAnsi="Times New Roman"/>
          <w:sz w:val="24"/>
          <w:szCs w:val="24"/>
        </w:rPr>
        <w:t>.</w:t>
      </w:r>
    </w:p>
    <w:bookmarkEnd w:id="10"/>
    <w:p w14:paraId="1EEC7B3A" w14:textId="77777777" w:rsidR="0020532D" w:rsidRPr="00F63FFF" w:rsidRDefault="0020532D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4034A9" w14:textId="77777777" w:rsidR="00E50028" w:rsidRPr="00F63FFF" w:rsidRDefault="00B05BD1" w:rsidP="00C35DC7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</w:t>
      </w:r>
      <w:r w:rsidR="00E50028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ьность, беременность и лактация</w:t>
      </w:r>
    </w:p>
    <w:p w14:paraId="2C3C3B0A" w14:textId="77777777" w:rsidR="006A5EC4" w:rsidRPr="00F63FFF" w:rsidRDefault="006A5EC4" w:rsidP="00C35DC7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11" w:name="_Hlk117594134"/>
      <w:r w:rsidRPr="00F63FFF">
        <w:rPr>
          <w:rFonts w:ascii="Times New Roman" w:hAnsi="Times New Roman"/>
          <w:i/>
          <w:sz w:val="24"/>
          <w:szCs w:val="24"/>
        </w:rPr>
        <w:t>Женщины репродуктивного возраста / контрацепция у мужчин и женщин</w:t>
      </w:r>
    </w:p>
    <w:p w14:paraId="1DB1AFE6" w14:textId="0AE5480F" w:rsidR="006A5EC4" w:rsidRPr="00F63FFF" w:rsidRDefault="006A5EC4" w:rsidP="006A5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hAnsi="Times New Roman"/>
          <w:sz w:val="24"/>
          <w:szCs w:val="24"/>
        </w:rPr>
        <w:t xml:space="preserve">Женщины репродуктивного возраста должны использовать эффективные методы контрацепции во время лечения и в течение как минимум 6 месяцев после его окончания. Мужчинам следует рекомендовать избегать зачатия детей на фоне терапии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и применять надежные методы контрацепции как в период лечения, так и в течение 3</w:t>
      </w:r>
      <w:r w:rsidRPr="00F63FFF">
        <w:rPr>
          <w:rFonts w:ascii="Times New Roman" w:hAnsi="Times New Roman"/>
          <w:sz w:val="24"/>
          <w:szCs w:val="24"/>
          <w:lang w:val="en-US"/>
        </w:rPr>
        <w:t> </w:t>
      </w:r>
      <w:r w:rsidRPr="00F63FFF">
        <w:rPr>
          <w:rFonts w:ascii="Times New Roman" w:hAnsi="Times New Roman"/>
          <w:sz w:val="24"/>
          <w:szCs w:val="24"/>
        </w:rPr>
        <w:t>месяцев после его завершения.</w:t>
      </w:r>
    </w:p>
    <w:bookmarkEnd w:id="11"/>
    <w:p w14:paraId="79D976F4" w14:textId="77777777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Беременность</w:t>
      </w:r>
    </w:p>
    <w:p w14:paraId="26B57118" w14:textId="11412C8A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Не имеется достаточного объема данных о применении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у беременных женщин. Исследования на животных продемонстрировали репродуктивную токсичность препарата</w:t>
      </w:r>
      <w:r w:rsidR="00095456">
        <w:rPr>
          <w:rFonts w:ascii="Times New Roman" w:eastAsia="Times New Roman" w:hAnsi="Times New Roman"/>
          <w:sz w:val="24"/>
          <w:szCs w:val="24"/>
        </w:rPr>
        <w:t xml:space="preserve"> (см. раздел 5.3)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. Потенциальный риск для человека не известен. Согласно результатам исследований на животных и в соответствии с механизмом действия препарата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не следует применять во время беременности, особенно во время первого триместра, кроме случаев крайней необходимости. Польза от лечения должна превышать возможный риск для плода в каждом отдельном случае.</w:t>
      </w:r>
    </w:p>
    <w:p w14:paraId="19C06257" w14:textId="77777777" w:rsidR="00E50028" w:rsidRPr="00F63FFF" w:rsidRDefault="00155469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sz w:val="24"/>
          <w:szCs w:val="24"/>
        </w:rPr>
        <w:t>Кормление грудью</w:t>
      </w:r>
    </w:p>
    <w:p w14:paraId="04895510" w14:textId="77777777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Неизвестно, проникает ли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/его метаболиты в грудное молоко. Учитывая возможные серьезные НЛР у детей, находящихся на грудном вскармливании, женщины, которым показано лечение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>, должны прекратить кормление грудью.</w:t>
      </w:r>
    </w:p>
    <w:p w14:paraId="2390F5CB" w14:textId="77777777" w:rsidR="00E50028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sz w:val="24"/>
          <w:szCs w:val="24"/>
        </w:rPr>
        <w:t>Фертильность</w:t>
      </w:r>
    </w:p>
    <w:p w14:paraId="0B324251" w14:textId="4C39E973" w:rsidR="00383DA1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Не получено данных о влиянии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на фертильность человека. В исследованиях на животных показана способность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снижать репродуктивную функцию у самцов. Перед началом лечения мужчинам следует проконсультироваться относительно возможности консервации спермы.</w:t>
      </w:r>
    </w:p>
    <w:p w14:paraId="2226E18A" w14:textId="77777777" w:rsidR="0020532D" w:rsidRPr="00F63FFF" w:rsidRDefault="0020532D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A722E1" w14:textId="77777777" w:rsidR="00C1482B" w:rsidRPr="00F63FFF" w:rsidRDefault="00DB406A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Влияние на способность управлять транспортными сред</w:t>
      </w:r>
      <w:bookmarkStart w:id="12" w:name="2175220282"/>
      <w:r w:rsidR="00C1482B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ствами и </w:t>
      </w:r>
      <w:r w:rsidR="0020532D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потенциально опасными</w:t>
      </w:r>
      <w:r w:rsidR="00C1482B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механизмами</w:t>
      </w:r>
    </w:p>
    <w:p w14:paraId="4EF1F0F9" w14:textId="77777777" w:rsidR="00383DA1" w:rsidRPr="00F63FFF" w:rsidRDefault="00383DA1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F63FFF">
        <w:rPr>
          <w:rFonts w:ascii="Times New Roman" w:eastAsia="Times New Roman" w:hAnsi="Times New Roman"/>
          <w:iCs/>
          <w:sz w:val="24"/>
          <w:szCs w:val="24"/>
        </w:rPr>
        <w:t>Азацитидин</w:t>
      </w:r>
      <w:proofErr w:type="spellEnd"/>
      <w:r w:rsidRPr="00F63FFF">
        <w:rPr>
          <w:rFonts w:ascii="Times New Roman" w:eastAsia="Times New Roman" w:hAnsi="Times New Roman"/>
          <w:iCs/>
          <w:sz w:val="24"/>
          <w:szCs w:val="24"/>
        </w:rPr>
        <w:t xml:space="preserve"> оказывает не</w:t>
      </w:r>
      <w:r w:rsidR="00155469" w:rsidRPr="00F63FFF">
        <w:rPr>
          <w:rFonts w:ascii="Times New Roman" w:eastAsia="Times New Roman" w:hAnsi="Times New Roman"/>
          <w:iCs/>
          <w:sz w:val="24"/>
          <w:szCs w:val="24"/>
        </w:rPr>
        <w:t>существенное</w:t>
      </w:r>
      <w:r w:rsidRPr="00F63FFF">
        <w:rPr>
          <w:rFonts w:ascii="Times New Roman" w:eastAsia="Times New Roman" w:hAnsi="Times New Roman"/>
          <w:iCs/>
          <w:sz w:val="24"/>
          <w:szCs w:val="24"/>
        </w:rPr>
        <w:t xml:space="preserve"> или умеренно</w:t>
      </w:r>
      <w:r w:rsidR="00155469" w:rsidRPr="00F63FFF">
        <w:rPr>
          <w:rFonts w:ascii="Times New Roman" w:eastAsia="Times New Roman" w:hAnsi="Times New Roman"/>
          <w:iCs/>
          <w:sz w:val="24"/>
          <w:szCs w:val="24"/>
        </w:rPr>
        <w:t>е</w:t>
      </w:r>
      <w:r w:rsidRPr="00F63FFF">
        <w:rPr>
          <w:rFonts w:ascii="Times New Roman" w:eastAsia="Times New Roman" w:hAnsi="Times New Roman"/>
          <w:iCs/>
          <w:sz w:val="24"/>
          <w:szCs w:val="24"/>
        </w:rPr>
        <w:t xml:space="preserve"> влияние на способность </w:t>
      </w:r>
      <w:r w:rsidR="00607D5F" w:rsidRPr="00F63FFF">
        <w:rPr>
          <w:rFonts w:ascii="Times New Roman" w:eastAsia="Times New Roman" w:hAnsi="Times New Roman"/>
          <w:iCs/>
          <w:sz w:val="24"/>
          <w:szCs w:val="24"/>
        </w:rPr>
        <w:t>управлять</w:t>
      </w:r>
      <w:r w:rsidRPr="00F63FFF">
        <w:rPr>
          <w:rFonts w:ascii="Times New Roman" w:eastAsia="Times New Roman" w:hAnsi="Times New Roman"/>
          <w:iCs/>
          <w:sz w:val="24"/>
          <w:szCs w:val="24"/>
        </w:rPr>
        <w:t xml:space="preserve"> транспортными средствами и </w:t>
      </w:r>
      <w:r w:rsidR="00607D5F" w:rsidRPr="00F63FFF">
        <w:rPr>
          <w:rFonts w:ascii="Times New Roman" w:eastAsia="Times New Roman" w:hAnsi="Times New Roman"/>
          <w:iCs/>
          <w:sz w:val="24"/>
          <w:szCs w:val="24"/>
        </w:rPr>
        <w:t>работать с механизмами</w:t>
      </w:r>
      <w:r w:rsidRPr="00F63FFF">
        <w:rPr>
          <w:rFonts w:ascii="Times New Roman" w:eastAsia="Times New Roman" w:hAnsi="Times New Roman"/>
          <w:iCs/>
          <w:sz w:val="24"/>
          <w:szCs w:val="24"/>
        </w:rPr>
        <w:t xml:space="preserve">. Учитывая возможность развития слабости на фоне лечения </w:t>
      </w:r>
      <w:proofErr w:type="spellStart"/>
      <w:r w:rsidRPr="00F63FFF">
        <w:rPr>
          <w:rFonts w:ascii="Times New Roman" w:eastAsia="Times New Roman" w:hAnsi="Times New Roman"/>
          <w:iCs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iCs/>
          <w:sz w:val="24"/>
          <w:szCs w:val="24"/>
        </w:rPr>
        <w:t>, следует соблюдать особую осторожность при управлении транспортными средствами и</w:t>
      </w:r>
      <w:r w:rsidR="00607D5F" w:rsidRPr="00F63FFF">
        <w:rPr>
          <w:rFonts w:ascii="Times New Roman" w:eastAsia="Times New Roman" w:hAnsi="Times New Roman"/>
          <w:iCs/>
          <w:sz w:val="24"/>
          <w:szCs w:val="24"/>
        </w:rPr>
        <w:t>ли работе с</w:t>
      </w:r>
      <w:r w:rsidRPr="00F63FFF">
        <w:rPr>
          <w:rFonts w:ascii="Times New Roman" w:eastAsia="Times New Roman" w:hAnsi="Times New Roman"/>
          <w:iCs/>
          <w:sz w:val="24"/>
          <w:szCs w:val="24"/>
        </w:rPr>
        <w:t xml:space="preserve"> механизмами. </w:t>
      </w:r>
    </w:p>
    <w:p w14:paraId="32B65521" w14:textId="77777777" w:rsidR="0020532D" w:rsidRPr="00F63FFF" w:rsidRDefault="0020532D" w:rsidP="002053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EC9035" w14:textId="77777777" w:rsidR="00C1482B" w:rsidRPr="00F63FFF" w:rsidRDefault="009D67EC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Start w:id="13" w:name="_Hlk20927064"/>
      <w:bookmarkStart w:id="14" w:name="_Hlk14853895"/>
      <w:bookmarkEnd w:id="12"/>
    </w:p>
    <w:p w14:paraId="69650416" w14:textId="77777777" w:rsidR="00C1482B" w:rsidRPr="00F63FFF" w:rsidRDefault="00DD767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i/>
          <w:sz w:val="24"/>
          <w:szCs w:val="24"/>
        </w:rPr>
        <w:t>Взрослые пациенты с МДС, ХММЛ и ОМЛ (20-30% бластов в костном мозге)</w:t>
      </w:r>
    </w:p>
    <w:p w14:paraId="635AC118" w14:textId="31974EBC" w:rsidR="00C1482B" w:rsidRPr="00F63FFF" w:rsidRDefault="00DD767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Нежелательные реакции, возможно или вероятно, связанные с применением </w:t>
      </w:r>
      <w:proofErr w:type="spellStart"/>
      <w:r w:rsidR="00095456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>, наблюдались у 97% пациентов.</w:t>
      </w:r>
    </w:p>
    <w:p w14:paraId="2BAE8E49" w14:textId="77777777" w:rsidR="00C1482B" w:rsidRPr="00F63FFF" w:rsidRDefault="00DD767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>К наиболее частым серьезным нежелательным реакциям, зарегистрированным в регистрационном исследовании (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AZA PH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GL 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2003 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CL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001), относились фебрильная </w:t>
      </w:r>
      <w:r w:rsidRPr="00F63FFF">
        <w:rPr>
          <w:rFonts w:ascii="Times New Roman" w:eastAsia="Times New Roman" w:hAnsi="Times New Roman"/>
          <w:sz w:val="24"/>
          <w:szCs w:val="24"/>
        </w:rPr>
        <w:lastRenderedPageBreak/>
        <w:t>нейтропения (8,0%) и анемия (2,3%), также зарегистрированные в дополнительных исследованиях (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CALGB 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9221 и 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CALGB 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8921). </w:t>
      </w:r>
    </w:p>
    <w:p w14:paraId="629554D1" w14:textId="7AA6F3E8" w:rsidR="00C1482B" w:rsidRPr="00F63FFF" w:rsidRDefault="00DD767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  <w:lang w:eastAsia="en-GB"/>
        </w:rPr>
        <w:t xml:space="preserve">Другие 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серьезные нежелательные реакции в этих 3 исследованиях включали в себя сепсис на фоне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нейтропении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(0,8%), пневмонию (2,5%) (в некоторых случаях – с летальным исходом), тромбоцитопению (3,5%), реакции гиперчувствительности (0,25%) и кровотечения (например, кровоизлияние в мозг</w:t>
      </w:r>
      <w:r w:rsidRPr="00F63FFF">
        <w:rPr>
          <w:rFonts w:ascii="Times New Roman" w:eastAsia="Times New Roman" w:hAnsi="Times New Roman"/>
          <w:noProof/>
          <w:sz w:val="24"/>
          <w:szCs w:val="24"/>
        </w:rPr>
        <w:t xml:space="preserve"> [0,5%], желудочно-кишечное кровотечение [0,8%] и внутричерепное кровотечение [0,5%])</w:t>
      </w:r>
      <w:r w:rsidRPr="00F63FFF">
        <w:rPr>
          <w:rFonts w:ascii="Times New Roman" w:eastAsia="Times New Roman" w:hAnsi="Times New Roman"/>
          <w:sz w:val="24"/>
          <w:szCs w:val="24"/>
        </w:rPr>
        <w:t>).</w:t>
      </w:r>
    </w:p>
    <w:p w14:paraId="15E3CF03" w14:textId="77777777" w:rsidR="00C1482B" w:rsidRPr="00F63FFF" w:rsidRDefault="00DD767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Наиболее частыми нежелательными реакциями при лечении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являлись гематологические реакции (71,4%), включая тромбоцитопению,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нейтропению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и лейкопению (обычно 3-4 степени тяжести); желудочно-кишечные осложнения (60,6%), включая тошноту и рвоту (обычно 1-2 степени тяжести), или реакции в месте введения (77,1%, обычно 1-2 степени тяжести).</w:t>
      </w:r>
    </w:p>
    <w:p w14:paraId="5F896DF2" w14:textId="77777777" w:rsidR="00C1482B" w:rsidRPr="00F63FFF" w:rsidRDefault="00DD7673" w:rsidP="00C35DC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noProof/>
          <w:sz w:val="24"/>
          <w:szCs w:val="24"/>
        </w:rPr>
        <w:t xml:space="preserve">Пациенты 65 лет и старше с ОМЛ и &gt;30% бластов в костнов мозге </w:t>
      </w:r>
    </w:p>
    <w:p w14:paraId="364BBE2C" w14:textId="77777777" w:rsidR="00C1482B" w:rsidRPr="00F63FFF" w:rsidRDefault="00DD767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К наиболее частым (≥10%) серьезным НЛР, зарегистрированным в рамках клинического исследования AZA-AML-001 в группе пациентов, получавших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, были отнесены фебрильная нейтропения (25%), пневмония (20,3%) 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пирексия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(10,6%). С меньшей частотой у этих пациентов встречались: сепсис (5,1%), анемия (4,2%),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нейтропенический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сепсис (3,0%), инфекции мочевыводящих путей (3,0%), тромбоцитопения (2,5%), нейтропения (2,1%), воспаление подкожной клетчатки (2,1%), головокружение (2,1%) и одышка (2,1%). </w:t>
      </w:r>
    </w:p>
    <w:p w14:paraId="12CB6EFC" w14:textId="77777777" w:rsidR="00C1482B" w:rsidRPr="00F63FFF" w:rsidRDefault="00DD767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Среди серьезных НЛР с частотой ≥30% в этой же группе пациентов были отмечены нарушения со стороны ЖКТ, включая запор (41,9%), тошноту (39,8%) и диарею (36,9%) (обычно 1-2 степени тяжести), общие нарушения и реакции в месте введения, включая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пирексию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(37,7 %, обычно 1-2 степени тяжести) и гематологические нарушения, включая фебрильную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нейтропению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(32,2%), 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нейтропению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(30,1%) (обычно 3-4 степени тяжести).</w:t>
      </w:r>
    </w:p>
    <w:p w14:paraId="216D7A96" w14:textId="77777777" w:rsidR="00C1482B" w:rsidRPr="00F63FFF" w:rsidRDefault="00DD767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i/>
          <w:noProof/>
          <w:sz w:val="24"/>
          <w:szCs w:val="24"/>
        </w:rPr>
        <w:t>Перечень нежелательных реакций</w:t>
      </w:r>
    </w:p>
    <w:p w14:paraId="00049973" w14:textId="77777777" w:rsidR="00C1482B" w:rsidRPr="00F63FFF" w:rsidRDefault="00DD767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Ниже представлены нежелательные реакции, связанные с терапией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, выявленные в основных клинических 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постмаркетинговых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исследованиях у пациентов с МДС и ОМЛ.</w:t>
      </w:r>
    </w:p>
    <w:p w14:paraId="4B7F72CB" w14:textId="3B65B7B4" w:rsidR="00C1482B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Частота нежелательных реакций, приведенных ниже, определялась соответственно следующей градации: </w:t>
      </w:r>
      <w:r w:rsidRPr="00F63FFF">
        <w:rPr>
          <w:rFonts w:ascii="Times New Roman" w:eastAsia="Times New Roman" w:hAnsi="Times New Roman"/>
          <w:i/>
          <w:sz w:val="24"/>
          <w:szCs w:val="24"/>
        </w:rPr>
        <w:t>очень часто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: (≥1/10); </w:t>
      </w:r>
      <w:r w:rsidRPr="00F63FFF">
        <w:rPr>
          <w:rFonts w:ascii="Times New Roman" w:eastAsia="Times New Roman" w:hAnsi="Times New Roman"/>
          <w:i/>
          <w:sz w:val="24"/>
          <w:szCs w:val="24"/>
        </w:rPr>
        <w:t>часто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(≥1/100, &lt;1/10); </w:t>
      </w:r>
      <w:r w:rsidRPr="00F63FFF">
        <w:rPr>
          <w:rFonts w:ascii="Times New Roman" w:eastAsia="Times New Roman" w:hAnsi="Times New Roman"/>
          <w:i/>
          <w:sz w:val="24"/>
          <w:szCs w:val="24"/>
        </w:rPr>
        <w:t>нечасто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(≥1/1000, &lt;1/100), </w:t>
      </w:r>
      <w:r w:rsidRPr="00F63FFF">
        <w:rPr>
          <w:rFonts w:ascii="Times New Roman" w:eastAsia="Times New Roman" w:hAnsi="Times New Roman"/>
          <w:i/>
          <w:sz w:val="24"/>
          <w:szCs w:val="24"/>
        </w:rPr>
        <w:t>редко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(≥1/10000, &lt;1/1000) и </w:t>
      </w:r>
      <w:r w:rsidRPr="00F63FFF">
        <w:rPr>
          <w:rFonts w:ascii="Times New Roman" w:eastAsia="Times New Roman" w:hAnsi="Times New Roman"/>
          <w:i/>
          <w:sz w:val="24"/>
          <w:szCs w:val="24"/>
        </w:rPr>
        <w:t>очень редко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(&lt;1/10000); частота не установлена (оценить по</w:t>
      </w:r>
      <w:r w:rsidR="00C1482B" w:rsidRPr="00F63FFF">
        <w:rPr>
          <w:rFonts w:ascii="Times New Roman" w:eastAsia="Times New Roman" w:hAnsi="Times New Roman"/>
          <w:sz w:val="24"/>
          <w:szCs w:val="24"/>
        </w:rPr>
        <w:t xml:space="preserve"> имеющимся данным невозможно). </w:t>
      </w:r>
      <w:r w:rsidRPr="00F63FFF">
        <w:rPr>
          <w:rFonts w:ascii="Times New Roman" w:eastAsia="Times New Roman" w:hAnsi="Times New Roman"/>
          <w:sz w:val="24"/>
          <w:szCs w:val="24"/>
        </w:rPr>
        <w:t>В каждой группе нежелательные явления представлены в порядке убывания серьезности.</w:t>
      </w:r>
      <w:r w:rsidRPr="00F63FF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Частота НЛР </w:t>
      </w:r>
      <w:r w:rsidR="00C1482B" w:rsidRPr="00F63FFF">
        <w:rPr>
          <w:rFonts w:ascii="Times New Roman" w:eastAsia="Times New Roman" w:hAnsi="Times New Roman"/>
          <w:sz w:val="24"/>
          <w:szCs w:val="24"/>
        </w:rPr>
        <w:t>представлена</w:t>
      </w:r>
      <w:r w:rsidRPr="00F63FFF">
        <w:rPr>
          <w:rFonts w:ascii="Times New Roman" w:eastAsia="Times New Roman" w:hAnsi="Times New Roman"/>
          <w:strike/>
          <w:color w:val="FF0000"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ниже согласно максимальному значению, полученному в одном из основных клинических исследований. </w:t>
      </w:r>
    </w:p>
    <w:p w14:paraId="48453E45" w14:textId="77777777" w:rsidR="001109C7" w:rsidRPr="00F63FFF" w:rsidRDefault="001109C7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3C16B" w14:textId="77777777" w:rsidR="00C1482B" w:rsidRPr="00F63FFF" w:rsidRDefault="00DD767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b/>
          <w:bCs/>
          <w:sz w:val="24"/>
          <w:szCs w:val="24"/>
        </w:rPr>
        <w:t xml:space="preserve">НЛР, зарегистрированные у пациентов с МДС и острым миелоидным лейкозом на фоне лечения </w:t>
      </w:r>
      <w:proofErr w:type="spellStart"/>
      <w:r w:rsidRPr="00F63FFF">
        <w:rPr>
          <w:rFonts w:ascii="Times New Roman" w:eastAsia="Times New Roman" w:hAnsi="Times New Roman"/>
          <w:b/>
          <w:bCs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b/>
          <w:bCs/>
          <w:sz w:val="24"/>
          <w:szCs w:val="24"/>
        </w:rPr>
        <w:t xml:space="preserve"> (в ходе клинических исследований и в пострегистрационном периоде).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10"/>
        <w:gridCol w:w="1462"/>
        <w:gridCol w:w="1373"/>
        <w:gridCol w:w="1733"/>
        <w:gridCol w:w="1364"/>
        <w:gridCol w:w="1619"/>
      </w:tblGrid>
      <w:tr w:rsidR="007A5285" w14:paraId="344EC634" w14:textId="77777777" w:rsidTr="00DD548B">
        <w:tc>
          <w:tcPr>
            <w:tcW w:w="1510" w:type="dxa"/>
          </w:tcPr>
          <w:p w14:paraId="7FFADA82" w14:textId="4B04BFB1" w:rsidR="007A5285" w:rsidRPr="00215484" w:rsidRDefault="007A5285" w:rsidP="007A52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21548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Системно-органная классификация</w:t>
            </w:r>
          </w:p>
        </w:tc>
        <w:tc>
          <w:tcPr>
            <w:tcW w:w="1462" w:type="dxa"/>
          </w:tcPr>
          <w:p w14:paraId="559DAB08" w14:textId="626AC610" w:rsidR="007A5285" w:rsidRPr="00215484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21548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Очень часто</w:t>
            </w:r>
          </w:p>
        </w:tc>
        <w:tc>
          <w:tcPr>
            <w:tcW w:w="1373" w:type="dxa"/>
          </w:tcPr>
          <w:p w14:paraId="1CB72AD9" w14:textId="6A9B243D" w:rsidR="007A5285" w:rsidRPr="00215484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21548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Часто</w:t>
            </w:r>
          </w:p>
        </w:tc>
        <w:tc>
          <w:tcPr>
            <w:tcW w:w="1733" w:type="dxa"/>
          </w:tcPr>
          <w:p w14:paraId="39F3919C" w14:textId="01BBA5F0" w:rsidR="007A5285" w:rsidRPr="00215484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21548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Нечасто</w:t>
            </w:r>
          </w:p>
        </w:tc>
        <w:tc>
          <w:tcPr>
            <w:tcW w:w="1364" w:type="dxa"/>
          </w:tcPr>
          <w:p w14:paraId="5025F226" w14:textId="14E7F63A" w:rsidR="007A5285" w:rsidRPr="00215484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21548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Редко</w:t>
            </w:r>
          </w:p>
        </w:tc>
        <w:tc>
          <w:tcPr>
            <w:tcW w:w="1619" w:type="dxa"/>
          </w:tcPr>
          <w:p w14:paraId="5AC78BE5" w14:textId="5C8DB0B4" w:rsidR="007A5285" w:rsidRPr="00215484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21548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Неизвестно</w:t>
            </w:r>
          </w:p>
        </w:tc>
      </w:tr>
      <w:tr w:rsidR="007A5285" w14:paraId="75E29339" w14:textId="77777777" w:rsidTr="00DD548B">
        <w:tc>
          <w:tcPr>
            <w:tcW w:w="1510" w:type="dxa"/>
          </w:tcPr>
          <w:p w14:paraId="78F8FE87" w14:textId="77777777" w:rsidR="007A5285" w:rsidRDefault="007A5285" w:rsidP="007A528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F63FFF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</w:rPr>
              <w:t xml:space="preserve">Инфекции </w:t>
            </w:r>
            <w:r w:rsidRPr="00F63FFF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и инвазии</w:t>
            </w:r>
          </w:p>
          <w:p w14:paraId="4D1695F3" w14:textId="39BBE97C" w:rsidR="007A5285" w:rsidRPr="007A5285" w:rsidRDefault="007A5285" w:rsidP="007A5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6837C0B" w14:textId="0A8A2A69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пневмония* (включая бактериальную, вирусную и грибковую), </w:t>
            </w:r>
            <w:proofErr w:type="spellStart"/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назофаринги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373" w:type="dxa"/>
          </w:tcPr>
          <w:p w14:paraId="2D3A99FF" w14:textId="0E535401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сепсис* (включая бактериальный, вирусный и грибковый</w:t>
            </w:r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 xml:space="preserve">), сепсис на фоне </w:t>
            </w:r>
            <w:proofErr w:type="spellStart"/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нейтропении</w:t>
            </w:r>
            <w:proofErr w:type="spellEnd"/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*, инфекции дыхательных путей (верхних отделов и бронхит), инфекции мочевыводящих путей, воспаление подкожной клетчатки, </w:t>
            </w:r>
            <w:proofErr w:type="spellStart"/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дивертикулит</w:t>
            </w:r>
            <w:proofErr w:type="spellEnd"/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, грибковое поражение слизистой оболочки полости рта, синусит, фарингит, ринит, простой герпес, кожные инфекции.</w:t>
            </w:r>
          </w:p>
        </w:tc>
        <w:tc>
          <w:tcPr>
            <w:tcW w:w="1733" w:type="dxa"/>
          </w:tcPr>
          <w:p w14:paraId="3C32A9F9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7EAF833B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2E4A5D1B" w14:textId="4848EFF1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некротизирующий</w:t>
            </w:r>
            <w:proofErr w:type="spellEnd"/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фасциит</w:t>
            </w:r>
            <w:proofErr w:type="spellEnd"/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*.</w:t>
            </w:r>
          </w:p>
        </w:tc>
      </w:tr>
      <w:tr w:rsidR="007A5285" w14:paraId="1204812C" w14:textId="77777777" w:rsidTr="00DD548B">
        <w:tc>
          <w:tcPr>
            <w:tcW w:w="1510" w:type="dxa"/>
          </w:tcPr>
          <w:p w14:paraId="1036D750" w14:textId="26568EB0" w:rsidR="007A5285" w:rsidRP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Новообразования, в т.ч. доброкачественные, злокачественные и неуточненные (включая кисты и полипы)</w:t>
            </w:r>
          </w:p>
        </w:tc>
        <w:tc>
          <w:tcPr>
            <w:tcW w:w="1462" w:type="dxa"/>
          </w:tcPr>
          <w:p w14:paraId="22EED73B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3FC3AAA1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5075C52B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5119E4ED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69703DEC" w14:textId="59A45AD9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63FFF">
              <w:rPr>
                <w:rFonts w:ascii="Times New Roman" w:hAnsi="Times New Roman"/>
                <w:sz w:val="24"/>
                <w:szCs w:val="28"/>
              </w:rPr>
              <w:t>дифференцировочный</w:t>
            </w:r>
            <w:proofErr w:type="spellEnd"/>
            <w:r w:rsidRPr="00F63FFF">
              <w:rPr>
                <w:rFonts w:ascii="Times New Roman" w:hAnsi="Times New Roman"/>
                <w:sz w:val="24"/>
                <w:szCs w:val="28"/>
              </w:rPr>
              <w:t xml:space="preserve"> синдром*</w:t>
            </w:r>
            <w:r w:rsidR="000C4B3A" w:rsidRPr="000C4B3A">
              <w:rPr>
                <w:rFonts w:ascii="Times New Roman" w:hAnsi="Times New Roman"/>
                <w:sz w:val="24"/>
                <w:szCs w:val="28"/>
                <w:vertAlign w:val="superscript"/>
              </w:rPr>
              <w:t>,а</w:t>
            </w:r>
          </w:p>
        </w:tc>
      </w:tr>
      <w:tr w:rsidR="007A5285" w14:paraId="0E3F2BE3" w14:textId="77777777" w:rsidTr="00DD548B">
        <w:tc>
          <w:tcPr>
            <w:tcW w:w="1510" w:type="dxa"/>
          </w:tcPr>
          <w:p w14:paraId="27A444D6" w14:textId="77777777" w:rsidR="007A5285" w:rsidRP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Кровь и лимфатическая система</w:t>
            </w:r>
          </w:p>
          <w:p w14:paraId="51DC20D1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04E3D5BC" w14:textId="1018732F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фебрильная нейтропения*, нейтропения, лейкопения, тромбоцито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пения, анемия.</w:t>
            </w:r>
          </w:p>
        </w:tc>
        <w:tc>
          <w:tcPr>
            <w:tcW w:w="1373" w:type="dxa"/>
          </w:tcPr>
          <w:p w14:paraId="338B3EAD" w14:textId="0A217549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панцитопения</w:t>
            </w:r>
            <w:proofErr w:type="spellEnd"/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*, недостаточность костного мозга.</w:t>
            </w:r>
          </w:p>
        </w:tc>
        <w:tc>
          <w:tcPr>
            <w:tcW w:w="1733" w:type="dxa"/>
          </w:tcPr>
          <w:p w14:paraId="7FF04138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3F030166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715969DD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5285" w14:paraId="722D62C0" w14:textId="77777777" w:rsidTr="00DD548B">
        <w:tc>
          <w:tcPr>
            <w:tcW w:w="1510" w:type="dxa"/>
          </w:tcPr>
          <w:p w14:paraId="054DFCF6" w14:textId="77777777" w:rsidR="007A5285" w:rsidRP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Иммунная система</w:t>
            </w:r>
          </w:p>
          <w:p w14:paraId="28836CD2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54F28775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7743852B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7458B183" w14:textId="43042F01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реакции гиперчувствительности.</w:t>
            </w:r>
          </w:p>
        </w:tc>
        <w:tc>
          <w:tcPr>
            <w:tcW w:w="1364" w:type="dxa"/>
          </w:tcPr>
          <w:p w14:paraId="099EE834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303EBEE0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5285" w14:paraId="47F89E6D" w14:textId="77777777" w:rsidTr="00DD548B">
        <w:tc>
          <w:tcPr>
            <w:tcW w:w="1510" w:type="dxa"/>
          </w:tcPr>
          <w:p w14:paraId="32E5E48F" w14:textId="77777777" w:rsidR="007A5285" w:rsidRP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Метаболические расстройства</w:t>
            </w:r>
          </w:p>
          <w:p w14:paraId="5232559D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700B373B" w14:textId="1D5C8EDD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 xml:space="preserve">анорексия, снижение аппетита, </w:t>
            </w:r>
            <w:proofErr w:type="spellStart"/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гипокалиемия</w:t>
            </w:r>
            <w:proofErr w:type="spellEnd"/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14:paraId="7952D268" w14:textId="50424D7A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дегидратация.</w:t>
            </w:r>
          </w:p>
        </w:tc>
        <w:tc>
          <w:tcPr>
            <w:tcW w:w="1733" w:type="dxa"/>
          </w:tcPr>
          <w:p w14:paraId="795EE946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49280842" w14:textId="3B44A6A3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синдром лизиса опухоли.</w:t>
            </w:r>
          </w:p>
        </w:tc>
        <w:tc>
          <w:tcPr>
            <w:tcW w:w="1619" w:type="dxa"/>
          </w:tcPr>
          <w:p w14:paraId="1FD1A020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5285" w14:paraId="0DE12C3C" w14:textId="77777777" w:rsidTr="00DD548B">
        <w:tc>
          <w:tcPr>
            <w:tcW w:w="1510" w:type="dxa"/>
          </w:tcPr>
          <w:p w14:paraId="27E29B48" w14:textId="582F3E55" w:rsidR="007A5285" w:rsidRP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Психические нарушения </w:t>
            </w:r>
          </w:p>
        </w:tc>
        <w:tc>
          <w:tcPr>
            <w:tcW w:w="1462" w:type="dxa"/>
          </w:tcPr>
          <w:p w14:paraId="3B6BF146" w14:textId="4B05AD55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бессонница.</w:t>
            </w:r>
          </w:p>
        </w:tc>
        <w:tc>
          <w:tcPr>
            <w:tcW w:w="1373" w:type="dxa"/>
          </w:tcPr>
          <w:p w14:paraId="3713D549" w14:textId="519E5B0C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спутанность сознания, тревожность.</w:t>
            </w:r>
          </w:p>
        </w:tc>
        <w:tc>
          <w:tcPr>
            <w:tcW w:w="1733" w:type="dxa"/>
          </w:tcPr>
          <w:p w14:paraId="0EEA169B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4571FDEB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4126F065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5285" w14:paraId="1C95E2B7" w14:textId="77777777" w:rsidTr="00DD548B">
        <w:tc>
          <w:tcPr>
            <w:tcW w:w="1510" w:type="dxa"/>
          </w:tcPr>
          <w:p w14:paraId="6AD884DB" w14:textId="77777777" w:rsidR="007A5285" w:rsidRP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Нервная система</w:t>
            </w:r>
          </w:p>
          <w:p w14:paraId="04F44E4A" w14:textId="77777777" w:rsid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2B6C1558" w14:textId="2D39259E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головокружение, головная боль</w:t>
            </w:r>
          </w:p>
        </w:tc>
        <w:tc>
          <w:tcPr>
            <w:tcW w:w="1373" w:type="dxa"/>
          </w:tcPr>
          <w:p w14:paraId="6C7BAE1A" w14:textId="0683F755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внутричерепное кровотечение*, обморок, сонливость, летаргия</w:t>
            </w:r>
          </w:p>
        </w:tc>
        <w:tc>
          <w:tcPr>
            <w:tcW w:w="1733" w:type="dxa"/>
          </w:tcPr>
          <w:p w14:paraId="5FD3132E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3F93AFBE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1FC9D24F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5285" w14:paraId="430888BD" w14:textId="77777777" w:rsidTr="00DD548B">
        <w:tc>
          <w:tcPr>
            <w:tcW w:w="1510" w:type="dxa"/>
          </w:tcPr>
          <w:p w14:paraId="4C386181" w14:textId="77777777" w:rsidR="007A5285" w:rsidRP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Орган зрения</w:t>
            </w:r>
          </w:p>
          <w:p w14:paraId="157AD8D9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24DDC2BE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6A84B88E" w14:textId="649A3895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внутриглазные кровотечения, кровоизлияния в конъюнктиву.</w:t>
            </w:r>
          </w:p>
        </w:tc>
        <w:tc>
          <w:tcPr>
            <w:tcW w:w="1733" w:type="dxa"/>
          </w:tcPr>
          <w:p w14:paraId="00A90F02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70B17705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632FFCF7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5285" w14:paraId="2C5A980C" w14:textId="77777777" w:rsidTr="00DD548B">
        <w:tc>
          <w:tcPr>
            <w:tcW w:w="1510" w:type="dxa"/>
          </w:tcPr>
          <w:p w14:paraId="2C8DCF18" w14:textId="77777777" w:rsidR="007A5285" w:rsidRP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Со стороны сердца </w:t>
            </w:r>
          </w:p>
          <w:p w14:paraId="7752C5C1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3D797BF8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7895A07F" w14:textId="01E0CAFC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bCs/>
                <w:sz w:val="24"/>
                <w:szCs w:val="24"/>
              </w:rPr>
              <w:t>выпот в полость перикарда.</w:t>
            </w:r>
          </w:p>
        </w:tc>
        <w:tc>
          <w:tcPr>
            <w:tcW w:w="1733" w:type="dxa"/>
          </w:tcPr>
          <w:p w14:paraId="1F3B2C50" w14:textId="4078212B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перикардит.</w:t>
            </w:r>
          </w:p>
        </w:tc>
        <w:tc>
          <w:tcPr>
            <w:tcW w:w="1364" w:type="dxa"/>
          </w:tcPr>
          <w:p w14:paraId="3C1FBC6C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288C6064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5285" w14:paraId="064391FE" w14:textId="77777777" w:rsidTr="00DD548B">
        <w:tc>
          <w:tcPr>
            <w:tcW w:w="1510" w:type="dxa"/>
          </w:tcPr>
          <w:p w14:paraId="50A2E46A" w14:textId="77777777" w:rsidR="007A5285" w:rsidRP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285">
              <w:rPr>
                <w:rFonts w:ascii="Times New Roman" w:eastAsia="Times New Roman" w:hAnsi="Times New Roman"/>
                <w:i/>
                <w:sz w:val="24"/>
                <w:szCs w:val="24"/>
              </w:rPr>
              <w:t>Со стороны сосудов</w:t>
            </w:r>
          </w:p>
          <w:p w14:paraId="2B8C0AE7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368B04A1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0E3D5D9F" w14:textId="4B568A35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снижение артериального давления*,</w:t>
            </w:r>
            <w:r w:rsidRPr="00F63FF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 xml:space="preserve">повышение артериального давления, 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ортостатическая</w:t>
            </w:r>
            <w:r w:rsidRPr="00F63FF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гипотензия, гематомы.</w:t>
            </w:r>
          </w:p>
        </w:tc>
        <w:tc>
          <w:tcPr>
            <w:tcW w:w="1733" w:type="dxa"/>
          </w:tcPr>
          <w:p w14:paraId="633D5B06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43D9F336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1B542607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5285" w14:paraId="3F833FDC" w14:textId="77777777" w:rsidTr="00DD548B">
        <w:tc>
          <w:tcPr>
            <w:tcW w:w="1510" w:type="dxa"/>
          </w:tcPr>
          <w:p w14:paraId="3E3A9C85" w14:textId="77777777" w:rsidR="007A5285" w:rsidRP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Дыхательная система</w:t>
            </w:r>
          </w:p>
          <w:p w14:paraId="3BD94972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19E37082" w14:textId="68294E2E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одышка, носовое кровотечение</w:t>
            </w:r>
          </w:p>
        </w:tc>
        <w:tc>
          <w:tcPr>
            <w:tcW w:w="1373" w:type="dxa"/>
          </w:tcPr>
          <w:p w14:paraId="455FF9C0" w14:textId="3BF1ABFF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плевральный выпот, одышка при физической нагрузке, </w:t>
            </w:r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боль в гортани и глотке.</w:t>
            </w:r>
          </w:p>
        </w:tc>
        <w:tc>
          <w:tcPr>
            <w:tcW w:w="1733" w:type="dxa"/>
          </w:tcPr>
          <w:p w14:paraId="0DFD2261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431C9EBB" w14:textId="4F007703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интерстициальное заболевание легких.</w:t>
            </w:r>
          </w:p>
        </w:tc>
        <w:tc>
          <w:tcPr>
            <w:tcW w:w="1619" w:type="dxa"/>
          </w:tcPr>
          <w:p w14:paraId="3C024E51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5285" w14:paraId="433EC5FB" w14:textId="77777777" w:rsidTr="00DD548B">
        <w:tc>
          <w:tcPr>
            <w:tcW w:w="1510" w:type="dxa"/>
          </w:tcPr>
          <w:p w14:paraId="2C7AB9C2" w14:textId="77777777" w:rsidR="007A5285" w:rsidRP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Органы пищеварения</w:t>
            </w:r>
          </w:p>
          <w:p w14:paraId="1F6C5192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19820EF8" w14:textId="1E3757C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bookmarkStart w:id="15" w:name="_Hlk196491982"/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диарея, рвота, запор, тошнота, боли в животе (включая чувство дискомфорта в эпигастральной области и в животе).</w:t>
            </w:r>
            <w:bookmarkEnd w:id="15"/>
          </w:p>
        </w:tc>
        <w:tc>
          <w:tcPr>
            <w:tcW w:w="1373" w:type="dxa"/>
          </w:tcPr>
          <w:p w14:paraId="2D84EF6A" w14:textId="368B203A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желудочно-кишечное кровотечение* (включая кровотечения в полости рта), геморроидальное кровотечение, стоматит, кровоточивость десен, диспепсия</w:t>
            </w:r>
          </w:p>
        </w:tc>
        <w:tc>
          <w:tcPr>
            <w:tcW w:w="1733" w:type="dxa"/>
          </w:tcPr>
          <w:p w14:paraId="5FE170E3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66B49F93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3A5AAA29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5285" w14:paraId="6183ECB4" w14:textId="77777777" w:rsidTr="00DD548B">
        <w:tc>
          <w:tcPr>
            <w:tcW w:w="1510" w:type="dxa"/>
          </w:tcPr>
          <w:p w14:paraId="28A3B240" w14:textId="77777777" w:rsidR="007A5285" w:rsidRPr="007A5285" w:rsidRDefault="007A5285" w:rsidP="007A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Гепатобилиарные нарушения</w:t>
            </w:r>
          </w:p>
          <w:p w14:paraId="135ABA14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1AA14019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3724C6B7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18E826D6" w14:textId="1013D235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печеночная недостаточность*, прогрессирующая печеночная кома</w:t>
            </w:r>
          </w:p>
        </w:tc>
        <w:tc>
          <w:tcPr>
            <w:tcW w:w="1364" w:type="dxa"/>
          </w:tcPr>
          <w:p w14:paraId="1D2696BE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6C71B6EF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5285" w14:paraId="7BD0A436" w14:textId="77777777" w:rsidTr="00DD548B">
        <w:tc>
          <w:tcPr>
            <w:tcW w:w="1510" w:type="dxa"/>
          </w:tcPr>
          <w:p w14:paraId="2E981013" w14:textId="77777777" w:rsidR="007A5285" w:rsidRPr="007A5285" w:rsidRDefault="007A5285" w:rsidP="007A52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7A528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Кожа и подкожно-жировая клетчатка</w:t>
            </w:r>
          </w:p>
          <w:p w14:paraId="1B6E5E60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7427365B" w14:textId="0AEEE8F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bookmarkStart w:id="16" w:name="_Hlk196491993"/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петехии, зуд (включая генерализованный), сыпь, экхимозы</w:t>
            </w:r>
            <w:bookmarkEnd w:id="16"/>
          </w:p>
        </w:tc>
        <w:tc>
          <w:tcPr>
            <w:tcW w:w="1373" w:type="dxa"/>
          </w:tcPr>
          <w:p w14:paraId="1F5D24B7" w14:textId="6142E42F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урпура, алопеция, 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 xml:space="preserve">крапивница, 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эритема, 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пятнистая</w:t>
            </w:r>
            <w:r w:rsidRPr="00F63FFF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сыпь</w:t>
            </w:r>
          </w:p>
        </w:tc>
        <w:tc>
          <w:tcPr>
            <w:tcW w:w="1733" w:type="dxa"/>
          </w:tcPr>
          <w:p w14:paraId="53564A6F" w14:textId="2C43F2BF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острый фебрильный нейтрофильный дерматоз, гангренозная пиодермия</w:t>
            </w:r>
          </w:p>
        </w:tc>
        <w:tc>
          <w:tcPr>
            <w:tcW w:w="1364" w:type="dxa"/>
          </w:tcPr>
          <w:p w14:paraId="307268E1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302E5070" w14:textId="2F1714DF" w:rsidR="007A5285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</w:t>
            </w:r>
            <w:r w:rsidR="007A5285" w:rsidRPr="007A528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ожный васкулит</w:t>
            </w:r>
          </w:p>
        </w:tc>
      </w:tr>
      <w:tr w:rsidR="007A5285" w14:paraId="1BC41EF9" w14:textId="77777777" w:rsidTr="00DD548B">
        <w:tc>
          <w:tcPr>
            <w:tcW w:w="1510" w:type="dxa"/>
          </w:tcPr>
          <w:p w14:paraId="15AA4D16" w14:textId="77777777" w:rsidR="00442062" w:rsidRPr="00442062" w:rsidRDefault="00442062" w:rsidP="0044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4206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Костно-мышечная система и соединительная ткань</w:t>
            </w:r>
          </w:p>
          <w:p w14:paraId="7E0BC5E0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24B32AD2" w14:textId="46CEE3CA" w:rsidR="007A5285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bookmarkStart w:id="17" w:name="_Hlk196492004"/>
            <w:r w:rsidRPr="004420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артралгия, костно-мышечная боль (включая боли в спине, костях и конечностях)</w:t>
            </w:r>
            <w:bookmarkEnd w:id="17"/>
          </w:p>
        </w:tc>
        <w:tc>
          <w:tcPr>
            <w:tcW w:w="1373" w:type="dxa"/>
          </w:tcPr>
          <w:p w14:paraId="087E8B4A" w14:textId="13FDDF9F" w:rsidR="007A5285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420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мышечные спазмы, миалгия</w:t>
            </w:r>
          </w:p>
        </w:tc>
        <w:tc>
          <w:tcPr>
            <w:tcW w:w="1733" w:type="dxa"/>
          </w:tcPr>
          <w:p w14:paraId="79B256EB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49BD68AF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0265F066" w14:textId="77777777" w:rsidR="007A5285" w:rsidRDefault="007A5285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42062" w14:paraId="16F4112F" w14:textId="77777777" w:rsidTr="00DD548B">
        <w:tc>
          <w:tcPr>
            <w:tcW w:w="1510" w:type="dxa"/>
          </w:tcPr>
          <w:p w14:paraId="1E23EB6B" w14:textId="77777777" w:rsidR="00442062" w:rsidRPr="00442062" w:rsidRDefault="00442062" w:rsidP="00442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062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Почки и мочевыделительная система</w:t>
            </w:r>
          </w:p>
          <w:p w14:paraId="1AE66DFF" w14:textId="77777777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15168942" w14:textId="77777777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1C9C769B" w14:textId="38E7B080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420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почечная недостаточность*, гематурия, повышение уровня </w:t>
            </w:r>
            <w:r w:rsidRPr="004420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креатинина</w:t>
            </w:r>
          </w:p>
        </w:tc>
        <w:tc>
          <w:tcPr>
            <w:tcW w:w="1733" w:type="dxa"/>
          </w:tcPr>
          <w:p w14:paraId="397ED2AE" w14:textId="7692056F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420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 xml:space="preserve">почечный </w:t>
            </w:r>
            <w:proofErr w:type="spellStart"/>
            <w:r w:rsidRPr="004420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канальцевый</w:t>
            </w:r>
            <w:proofErr w:type="spellEnd"/>
            <w:r w:rsidRPr="004420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ацидоз</w:t>
            </w:r>
          </w:p>
        </w:tc>
        <w:tc>
          <w:tcPr>
            <w:tcW w:w="1364" w:type="dxa"/>
          </w:tcPr>
          <w:p w14:paraId="516523CB" w14:textId="77777777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301B00A2" w14:textId="77777777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42062" w14:paraId="300BC932" w14:textId="77777777" w:rsidTr="00DD548B">
        <w:tc>
          <w:tcPr>
            <w:tcW w:w="1510" w:type="dxa"/>
          </w:tcPr>
          <w:p w14:paraId="11F61E9C" w14:textId="71586F7F" w:rsidR="00442062" w:rsidRP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4206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Общие нарушения, реакции в месте введения препарата</w:t>
            </w:r>
          </w:p>
        </w:tc>
        <w:tc>
          <w:tcPr>
            <w:tcW w:w="1462" w:type="dxa"/>
          </w:tcPr>
          <w:p w14:paraId="2A00F415" w14:textId="0F23CCDC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bookmarkStart w:id="18" w:name="_Hlk196492016"/>
            <w:proofErr w:type="spellStart"/>
            <w:r w:rsidRPr="004420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пирексия</w:t>
            </w:r>
            <w:proofErr w:type="spellEnd"/>
            <w:r w:rsidRPr="004420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*, повышенная утомляемость, астения, боль в груди; покраснение в месте введения, боль в месте введения (не уточнены)</w:t>
            </w:r>
            <w:bookmarkEnd w:id="18"/>
          </w:p>
        </w:tc>
        <w:tc>
          <w:tcPr>
            <w:tcW w:w="1373" w:type="dxa"/>
          </w:tcPr>
          <w:p w14:paraId="01A096F6" w14:textId="444BB8A4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420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кровоизлияние, гематома, уплотнение, сыпь, зуд, воспаление, изменение цвета кожных покровов, образование узелков и кровоточивость (в месте инъекции), недомогание, озноб, кровоточивость в месте установки катетера</w:t>
            </w:r>
          </w:p>
        </w:tc>
        <w:tc>
          <w:tcPr>
            <w:tcW w:w="1733" w:type="dxa"/>
          </w:tcPr>
          <w:p w14:paraId="08CBF9DE" w14:textId="77777777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143D6A5B" w14:textId="315BEB8C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420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некроз в месте инъекции</w:t>
            </w:r>
          </w:p>
        </w:tc>
        <w:tc>
          <w:tcPr>
            <w:tcW w:w="1619" w:type="dxa"/>
          </w:tcPr>
          <w:p w14:paraId="1325E696" w14:textId="77777777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42062" w14:paraId="6242D17F" w14:textId="77777777" w:rsidTr="00DD548B">
        <w:tc>
          <w:tcPr>
            <w:tcW w:w="1510" w:type="dxa"/>
          </w:tcPr>
          <w:p w14:paraId="21BDA1A1" w14:textId="77777777" w:rsidR="00442062" w:rsidRPr="00442062" w:rsidRDefault="00442062" w:rsidP="00442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062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Исследования и анализы</w:t>
            </w:r>
          </w:p>
          <w:p w14:paraId="7A5A875E" w14:textId="77777777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7E082A90" w14:textId="4314E13C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bookmarkStart w:id="19" w:name="_Hlk196492030"/>
            <w:r w:rsidRPr="00F63FFF">
              <w:rPr>
                <w:rFonts w:ascii="Times New Roman" w:eastAsia="Times New Roman" w:hAnsi="Times New Roman"/>
                <w:sz w:val="24"/>
                <w:szCs w:val="24"/>
              </w:rPr>
              <w:t>снижение массы тела</w:t>
            </w:r>
            <w:bookmarkEnd w:id="19"/>
          </w:p>
        </w:tc>
        <w:tc>
          <w:tcPr>
            <w:tcW w:w="1373" w:type="dxa"/>
          </w:tcPr>
          <w:p w14:paraId="1A55DB9D" w14:textId="77777777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6AD6CEE7" w14:textId="77777777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4DCC6EF3" w14:textId="77777777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36C94402" w14:textId="77777777" w:rsidR="00442062" w:rsidRDefault="00442062" w:rsidP="0020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707196E7" w14:textId="13118940" w:rsidR="00C1482B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0" w:name="_Hlk196492560"/>
      <w:r w:rsidRPr="00F63FFF">
        <w:rPr>
          <w:rFonts w:ascii="Times New Roman" w:eastAsia="Times New Roman" w:hAnsi="Times New Roman"/>
          <w:sz w:val="24"/>
          <w:szCs w:val="24"/>
        </w:rPr>
        <w:t>*- редко сопровождались летальным исходом.</w:t>
      </w:r>
      <w:bookmarkStart w:id="21" w:name="_Hlk20927177"/>
      <w:bookmarkEnd w:id="13"/>
      <w:bookmarkEnd w:id="20"/>
    </w:p>
    <w:p w14:paraId="22CB168C" w14:textId="6136FBA6" w:rsidR="00442062" w:rsidRDefault="00442062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2" w:name="_Hlk196492569"/>
      <w:r>
        <w:rPr>
          <w:rFonts w:ascii="Times New Roman" w:eastAsia="Times New Roman" w:hAnsi="Times New Roman"/>
          <w:sz w:val="24"/>
          <w:szCs w:val="24"/>
        </w:rPr>
        <w:t>а – см. раздел 4.4.</w:t>
      </w:r>
    </w:p>
    <w:bookmarkEnd w:id="22"/>
    <w:p w14:paraId="1560F24A" w14:textId="77777777" w:rsidR="00442062" w:rsidRPr="00F63FFF" w:rsidRDefault="00442062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B719A6" w14:textId="77777777" w:rsidR="00C1482B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Cs/>
          <w:sz w:val="24"/>
          <w:szCs w:val="24"/>
          <w:u w:val="single"/>
        </w:rPr>
        <w:t>Описание отдельных побочных реакций</w:t>
      </w:r>
    </w:p>
    <w:p w14:paraId="1B5FC75B" w14:textId="77777777" w:rsidR="00C1482B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iCs/>
          <w:noProof/>
          <w:sz w:val="24"/>
          <w:szCs w:val="24"/>
        </w:rPr>
        <w:t>Гематологические</w:t>
      </w: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i/>
          <w:iCs/>
          <w:noProof/>
          <w:sz w:val="24"/>
          <w:szCs w:val="24"/>
        </w:rPr>
        <w:t>НЛР</w:t>
      </w: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14:paraId="446F9D90" w14:textId="77777777" w:rsidR="00C1482B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Наиболее частыми наблюдавшимися (≥10%) нежелательными гематологическими реакциями, связанными с применением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, являлись анемия, тромбоцитопения, нейтропения, фебрильная нейтропения и лейкопения и были обычно 3 или 4 степени тяжести. Наибольший риск развития этих реакций отмечается во время первых двух циклов терапии, после чего они возникают с меньшей частотой у пациентов с восстановившимися гематологическими показателями. </w:t>
      </w:r>
    </w:p>
    <w:p w14:paraId="08FC7D4D" w14:textId="77777777" w:rsidR="00C1482B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Большинство гематологических реакций разрешается при регулярном мониторинге развернутого анализа крови, отсрочке очередного цикла лечения, профилактическом назначении антибиотиков и/или гранулоцитарного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колониестимулирующего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фактора (Г</w:t>
      </w:r>
      <w:r w:rsidRPr="00F63FFF">
        <w:rPr>
          <w:rFonts w:ascii="Times New Roman" w:eastAsia="Times New Roman" w:hAnsi="Times New Roman"/>
          <w:sz w:val="24"/>
          <w:szCs w:val="24"/>
        </w:rPr>
        <w:noBreakHyphen/>
        <w:t xml:space="preserve">КСФ) при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нейтропении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и гемотрансфузий при анемии или тромбоцитопении в случае необходимости.</w:t>
      </w:r>
    </w:p>
    <w:p w14:paraId="595F9A3C" w14:textId="77777777" w:rsidR="00C1482B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iCs/>
          <w:noProof/>
          <w:sz w:val="24"/>
          <w:szCs w:val="24"/>
        </w:rPr>
        <w:t>Инфекции</w:t>
      </w:r>
    </w:p>
    <w:p w14:paraId="43ACD088" w14:textId="77777777" w:rsidR="007C1C3E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Миелосупрессия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может привести к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нейтропении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и повышению риска возникновения инфекции. У пациентов на фоне лечения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отмечались серьезные побочные реакции, такие как сепсис, в том числе на фоне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нейтропении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, и пневмония, в некоторых случаях – с летальным исходом. В случае развития инфекции требуется назначение </w:t>
      </w:r>
      <w:r w:rsidRPr="00F63FFF">
        <w:rPr>
          <w:rFonts w:ascii="Times New Roman" w:eastAsia="Times New Roman" w:hAnsi="Times New Roman"/>
          <w:sz w:val="24"/>
          <w:szCs w:val="24"/>
        </w:rPr>
        <w:lastRenderedPageBreak/>
        <w:t xml:space="preserve">антибактериальной терапии и гранулоцитарного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колониестимулирующего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фактора (Г</w:t>
      </w:r>
      <w:r w:rsidRPr="00F63FFF">
        <w:rPr>
          <w:rFonts w:ascii="Times New Roman" w:eastAsia="Times New Roman" w:hAnsi="Times New Roman"/>
          <w:sz w:val="24"/>
          <w:szCs w:val="24"/>
        </w:rPr>
        <w:noBreakHyphen/>
        <w:t xml:space="preserve">КСФ) при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нейтропении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>.</w:t>
      </w:r>
    </w:p>
    <w:p w14:paraId="57C8B7FD" w14:textId="77777777" w:rsidR="007C1C3E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Кровотечение</w:t>
      </w:r>
    </w:p>
    <w:p w14:paraId="4A4742CC" w14:textId="77777777" w:rsidR="007C1C3E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У пациентов, получающих лечение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, могут развиваться кровотечения, в том числе, относящиеся к категории серьезных побочных реакций, такие как желудочно-кишечные и внутричерепные кровотечения. </w:t>
      </w:r>
    </w:p>
    <w:p w14:paraId="2ADA5671" w14:textId="77777777" w:rsidR="007C1C3E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>Необходимо контролировать признаки и симптомы, позволяющие диагностировать кровотечение, в особенности у пациентов с исходной или развившейся на фоне основного лечения тромбоцитопенией.</w:t>
      </w:r>
    </w:p>
    <w:p w14:paraId="1532E7B9" w14:textId="77777777" w:rsidR="007C1C3E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iCs/>
          <w:noProof/>
          <w:sz w:val="24"/>
          <w:szCs w:val="24"/>
        </w:rPr>
        <w:t>Гиперчувствительность</w:t>
      </w:r>
    </w:p>
    <w:p w14:paraId="5CF0604C" w14:textId="77777777" w:rsidR="007C1C3E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У пациентов, получавших лечение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, отмечались реакции гиперчувствительности, относящиеся к категории серьезных. В случае развития анафилактических реакций лечение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должно быть немедленно прекращено, и назначена симптоматическая терапия.</w:t>
      </w:r>
    </w:p>
    <w:p w14:paraId="0CAB3761" w14:textId="77777777" w:rsidR="007C1C3E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Побочные реакции со стороны кожи и подкожно-жировой клетчатки</w:t>
      </w:r>
    </w:p>
    <w:p w14:paraId="1F7829B4" w14:textId="64BDC3AE" w:rsidR="007C1C3E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Большинство побочных реакций со стороны кожи и подкожно-жировой клетчатки отмечались в месте инъекции. Эти реакции никогда не приводили к отмене или уменьшению дозы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в ходе клинических исследований. Большинство реакций возникало во время </w:t>
      </w:r>
      <w:r w:rsidR="003546AC" w:rsidRPr="00F63FFF">
        <w:rPr>
          <w:rFonts w:ascii="Times New Roman" w:eastAsia="Times New Roman" w:hAnsi="Times New Roman"/>
          <w:sz w:val="24"/>
          <w:szCs w:val="24"/>
        </w:rPr>
        <w:t xml:space="preserve">первых </w:t>
      </w:r>
      <w:r w:rsidRPr="00F63FFF">
        <w:rPr>
          <w:rFonts w:ascii="Times New Roman" w:eastAsia="Times New Roman" w:hAnsi="Times New Roman"/>
          <w:sz w:val="24"/>
          <w:szCs w:val="24"/>
        </w:rPr>
        <w:t>двух циклов лечения, при этом отмечалась тенденция к их уменьшению при продолжении лечения. Такие местные нежелательные реакции, как сыпь, воспаление, зуд, эритема и поражение кожи могут потребовать назначения сопутствующей терапии антигистаминными препаратами, кортикостероидами и нестероидными противовоспалительными препаратами (НПВП).</w:t>
      </w:r>
    </w:p>
    <w:p w14:paraId="5FE4B156" w14:textId="38625562" w:rsidR="007C1C3E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Эти кожные реакции следует дифференцировать с инфекциями мягких тканей, развивающимися иногда в месте инъекций. Инфекции мягких тканей, включая флегмону 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некротизирующий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фасциит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, в редких случаях приводящий к летальному исходу, были отмечены на фоне применения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в пострегистрационном периоде. Рекомендации по лечению инфекционных осложнений приведены выше, в разделе </w:t>
      </w:r>
      <w:r w:rsidR="000D0FF0">
        <w:rPr>
          <w:rFonts w:ascii="Times New Roman" w:eastAsia="Times New Roman" w:hAnsi="Times New Roman"/>
          <w:sz w:val="24"/>
          <w:szCs w:val="24"/>
        </w:rPr>
        <w:t>4.8</w:t>
      </w:r>
      <w:r w:rsidRPr="00F63FFF">
        <w:rPr>
          <w:rFonts w:ascii="Times New Roman" w:eastAsia="Times New Roman" w:hAnsi="Times New Roman"/>
          <w:sz w:val="24"/>
          <w:szCs w:val="24"/>
        </w:rPr>
        <w:t>.</w:t>
      </w:r>
    </w:p>
    <w:p w14:paraId="63740D00" w14:textId="77777777" w:rsidR="007C1C3E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Нарушения со стороны желудочно-кишечного тракта</w:t>
      </w:r>
    </w:p>
    <w:p w14:paraId="7623B441" w14:textId="77777777" w:rsidR="00DD7673" w:rsidRPr="00F63FFF" w:rsidRDefault="00DD7673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На фоне лечения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наиболее часто отмечались запор, диарея, тошнота и рвота. Эти НЛР купировались с помощью симптоматических средств: противорвотных – при тошноте и рвоте, антидиарейных – при диарее, и слабительных – при запоре.</w:t>
      </w:r>
    </w:p>
    <w:p w14:paraId="52C71A19" w14:textId="77777777" w:rsidR="007C1C3E" w:rsidRPr="00F63FFF" w:rsidRDefault="007C1C3E" w:rsidP="0020532D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Нарушения функций почек</w:t>
      </w:r>
    </w:p>
    <w:p w14:paraId="6BBDD16E" w14:textId="77777777" w:rsidR="000D0FF0" w:rsidRDefault="000D0FF0" w:rsidP="00205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0FF0">
        <w:rPr>
          <w:rFonts w:ascii="Times New Roman" w:eastAsia="Times New Roman" w:hAnsi="Times New Roman"/>
          <w:sz w:val="24"/>
          <w:szCs w:val="24"/>
        </w:rPr>
        <w:t xml:space="preserve">У пациентов, получавших лечение </w:t>
      </w:r>
      <w:proofErr w:type="spellStart"/>
      <w:r w:rsidRPr="000D0FF0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0D0FF0">
        <w:rPr>
          <w:rFonts w:ascii="Times New Roman" w:eastAsia="Times New Roman" w:hAnsi="Times New Roman"/>
          <w:sz w:val="24"/>
          <w:szCs w:val="24"/>
        </w:rPr>
        <w:t xml:space="preserve">, сообщалось о нарушениях функции почек — от повышенного уровня креатинина в сыворотке и гематурии (наличия крови в моче) до почечного </w:t>
      </w:r>
      <w:proofErr w:type="spellStart"/>
      <w:r w:rsidRPr="000D0FF0">
        <w:rPr>
          <w:rFonts w:ascii="Times New Roman" w:eastAsia="Times New Roman" w:hAnsi="Times New Roman"/>
          <w:sz w:val="24"/>
          <w:szCs w:val="24"/>
        </w:rPr>
        <w:t>канальцевого</w:t>
      </w:r>
      <w:proofErr w:type="spellEnd"/>
      <w:r w:rsidRPr="000D0FF0">
        <w:rPr>
          <w:rFonts w:ascii="Times New Roman" w:eastAsia="Times New Roman" w:hAnsi="Times New Roman"/>
          <w:sz w:val="24"/>
          <w:szCs w:val="24"/>
        </w:rPr>
        <w:t xml:space="preserve"> ацидоза, почечной недостаточности и летального исхода (см. раздел 4.4).</w:t>
      </w:r>
    </w:p>
    <w:p w14:paraId="49BFCC3C" w14:textId="7E8C69A5" w:rsidR="00DD7673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 xml:space="preserve">Нарушения функций печени </w:t>
      </w:r>
    </w:p>
    <w:p w14:paraId="7F2CD9EB" w14:textId="77777777" w:rsidR="000D0FF0" w:rsidRDefault="000D0FF0" w:rsidP="0020532D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  <w:lang w:eastAsia="en-GB"/>
        </w:rPr>
      </w:pPr>
      <w:r w:rsidRPr="000D0FF0">
        <w:rPr>
          <w:rFonts w:ascii="Times New Roman" w:eastAsia="Verdana" w:hAnsi="Times New Roman"/>
          <w:sz w:val="24"/>
          <w:szCs w:val="24"/>
          <w:lang w:eastAsia="en-GB"/>
        </w:rPr>
        <w:t xml:space="preserve">У пациентов с обширной опухолевой массой на фоне метастатического заболевания во время лечения </w:t>
      </w:r>
      <w:proofErr w:type="spellStart"/>
      <w:r w:rsidRPr="000D0FF0">
        <w:rPr>
          <w:rFonts w:ascii="Times New Roman" w:eastAsia="Verdana" w:hAnsi="Times New Roman"/>
          <w:sz w:val="24"/>
          <w:szCs w:val="24"/>
          <w:lang w:eastAsia="en-GB"/>
        </w:rPr>
        <w:t>азацитидином</w:t>
      </w:r>
      <w:proofErr w:type="spellEnd"/>
      <w:r w:rsidRPr="000D0FF0">
        <w:rPr>
          <w:rFonts w:ascii="Times New Roman" w:eastAsia="Verdana" w:hAnsi="Times New Roman"/>
          <w:sz w:val="24"/>
          <w:szCs w:val="24"/>
          <w:lang w:eastAsia="en-GB"/>
        </w:rPr>
        <w:t xml:space="preserve"> сообщалось о случаях печёночной недостаточности, прогрессирующей печёночной комы и летального исхода (см. раздел 4.4).</w:t>
      </w:r>
    </w:p>
    <w:p w14:paraId="636B5A51" w14:textId="2455806F" w:rsidR="00DD7673" w:rsidRPr="00F63FFF" w:rsidRDefault="00DD7673" w:rsidP="0020532D">
      <w:pPr>
        <w:spacing w:after="0" w:line="240" w:lineRule="auto"/>
        <w:jc w:val="both"/>
        <w:rPr>
          <w:rFonts w:ascii="Times New Roman" w:eastAsia="Verdana" w:hAnsi="Times New Roman"/>
          <w:i/>
          <w:sz w:val="24"/>
          <w:szCs w:val="24"/>
          <w:lang w:eastAsia="en-GB"/>
        </w:rPr>
      </w:pPr>
      <w:r w:rsidRPr="00F63FFF">
        <w:rPr>
          <w:rFonts w:ascii="Times New Roman" w:eastAsia="Verdana" w:hAnsi="Times New Roman"/>
          <w:i/>
          <w:sz w:val="24"/>
          <w:szCs w:val="24"/>
          <w:lang w:eastAsia="en-GB"/>
        </w:rPr>
        <w:t>Сердечно-сосудистые НЛР</w:t>
      </w:r>
    </w:p>
    <w:p w14:paraId="468F4E88" w14:textId="77777777" w:rsidR="000D0FF0" w:rsidRDefault="000D0FF0" w:rsidP="0020532D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  <w:lang w:eastAsia="en-GB"/>
        </w:rPr>
      </w:pPr>
      <w:r w:rsidRPr="000D0FF0">
        <w:rPr>
          <w:rFonts w:ascii="Times New Roman" w:eastAsia="Verdana" w:hAnsi="Times New Roman"/>
          <w:sz w:val="24"/>
          <w:szCs w:val="24"/>
          <w:lang w:eastAsia="en-GB"/>
        </w:rPr>
        <w:t xml:space="preserve">В клиническом исследовании, где участвовали пациенты с уже имеющимися сердечно-сосудистыми или лёгочными заболеваниями, у больных с впервые диагностированным острым миелоидным лейкозом (ОМЛ), получавших </w:t>
      </w:r>
      <w:proofErr w:type="spellStart"/>
      <w:r w:rsidRPr="000D0FF0">
        <w:rPr>
          <w:rFonts w:ascii="Times New Roman" w:eastAsia="Verdana" w:hAnsi="Times New Roman"/>
          <w:sz w:val="24"/>
          <w:szCs w:val="24"/>
          <w:lang w:eastAsia="en-GB"/>
        </w:rPr>
        <w:t>азацитидин</w:t>
      </w:r>
      <w:proofErr w:type="spellEnd"/>
      <w:r w:rsidRPr="000D0FF0">
        <w:rPr>
          <w:rFonts w:ascii="Times New Roman" w:eastAsia="Verdana" w:hAnsi="Times New Roman"/>
          <w:sz w:val="24"/>
          <w:szCs w:val="24"/>
          <w:lang w:eastAsia="en-GB"/>
        </w:rPr>
        <w:t>, было зафиксировано повышение частоты сердечных осложнений (см. раздел 4.4).</w:t>
      </w:r>
    </w:p>
    <w:p w14:paraId="24FAD5C0" w14:textId="1D4A4D97" w:rsidR="007C1C3E" w:rsidRPr="00F63FFF" w:rsidRDefault="00676E43" w:rsidP="0020532D">
      <w:pPr>
        <w:spacing w:after="0" w:line="240" w:lineRule="auto"/>
        <w:jc w:val="both"/>
        <w:rPr>
          <w:rFonts w:ascii="Times New Roman" w:eastAsia="Verdana" w:hAnsi="Times New Roman"/>
          <w:i/>
          <w:sz w:val="24"/>
          <w:szCs w:val="24"/>
          <w:lang w:eastAsia="en-GB"/>
        </w:rPr>
      </w:pPr>
      <w:r w:rsidRPr="00F63FFF">
        <w:rPr>
          <w:rFonts w:ascii="Times New Roman" w:eastAsia="Verdana" w:hAnsi="Times New Roman"/>
          <w:i/>
          <w:sz w:val="24"/>
          <w:szCs w:val="24"/>
          <w:lang w:eastAsia="en-GB"/>
        </w:rPr>
        <w:t>Пациенты пожилого возраста</w:t>
      </w:r>
    </w:p>
    <w:p w14:paraId="1CABCDB0" w14:textId="77777777" w:rsidR="001070F9" w:rsidRDefault="001070F9" w:rsidP="003546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70F9">
        <w:rPr>
          <w:rFonts w:ascii="Times New Roman" w:eastAsia="Times New Roman" w:hAnsi="Times New Roman"/>
          <w:sz w:val="24"/>
          <w:szCs w:val="24"/>
        </w:rPr>
        <w:t xml:space="preserve">Имеются ограниченные данные по безопасности </w:t>
      </w:r>
      <w:proofErr w:type="spellStart"/>
      <w:r w:rsidRPr="001070F9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1070F9">
        <w:rPr>
          <w:rFonts w:ascii="Times New Roman" w:eastAsia="Times New Roman" w:hAnsi="Times New Roman"/>
          <w:sz w:val="24"/>
          <w:szCs w:val="24"/>
        </w:rPr>
        <w:t xml:space="preserve"> у пациентов в возрасте 85 лет и старше (в исследовании AZA-AML-001 лечение получили 14 пациентов этой возрастной группы, что составило 5,9% от общего числа участников).</w:t>
      </w:r>
    </w:p>
    <w:p w14:paraId="4573D848" w14:textId="129F81B3" w:rsidR="003546AC" w:rsidRPr="00F63FFF" w:rsidRDefault="003546AC" w:rsidP="003546AC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 xml:space="preserve">Дети </w:t>
      </w:r>
    </w:p>
    <w:bookmarkEnd w:id="14"/>
    <w:bookmarkEnd w:id="21"/>
    <w:p w14:paraId="45D2ECE0" w14:textId="77777777" w:rsidR="00415FEA" w:rsidRPr="00415FEA" w:rsidRDefault="00415FEA" w:rsidP="00415F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5FEA">
        <w:rPr>
          <w:rFonts w:ascii="Times New Roman" w:eastAsia="Times New Roman" w:hAnsi="Times New Roman"/>
          <w:sz w:val="24"/>
          <w:szCs w:val="24"/>
        </w:rPr>
        <w:lastRenderedPageBreak/>
        <w:t xml:space="preserve">В исследовании AZA-JMML-001 </w:t>
      </w:r>
      <w:proofErr w:type="spellStart"/>
      <w:r w:rsidRPr="00415FEA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415FEA">
        <w:rPr>
          <w:rFonts w:ascii="Times New Roman" w:eastAsia="Times New Roman" w:hAnsi="Times New Roman"/>
          <w:sz w:val="24"/>
          <w:szCs w:val="24"/>
        </w:rPr>
        <w:t xml:space="preserve"> получали 28 детей (в возрасте от 1 месяца до 18 лет) с диагнозами </w:t>
      </w:r>
      <w:proofErr w:type="spellStart"/>
      <w:r w:rsidRPr="00415FEA">
        <w:rPr>
          <w:rFonts w:ascii="Times New Roman" w:eastAsia="Times New Roman" w:hAnsi="Times New Roman"/>
          <w:sz w:val="24"/>
          <w:szCs w:val="24"/>
        </w:rPr>
        <w:t>миелодиспластический</w:t>
      </w:r>
      <w:proofErr w:type="spellEnd"/>
      <w:r w:rsidRPr="00415FEA">
        <w:rPr>
          <w:rFonts w:ascii="Times New Roman" w:eastAsia="Times New Roman" w:hAnsi="Times New Roman"/>
          <w:sz w:val="24"/>
          <w:szCs w:val="24"/>
        </w:rPr>
        <w:t xml:space="preserve"> синдром (МДС, n = 10) или ювенильный </w:t>
      </w:r>
      <w:proofErr w:type="spellStart"/>
      <w:r w:rsidRPr="00415FEA">
        <w:rPr>
          <w:rFonts w:ascii="Times New Roman" w:eastAsia="Times New Roman" w:hAnsi="Times New Roman"/>
          <w:sz w:val="24"/>
          <w:szCs w:val="24"/>
        </w:rPr>
        <w:t>миеломоноцитарный</w:t>
      </w:r>
      <w:proofErr w:type="spellEnd"/>
      <w:r w:rsidRPr="00415FEA">
        <w:rPr>
          <w:rFonts w:ascii="Times New Roman" w:eastAsia="Times New Roman" w:hAnsi="Times New Roman"/>
          <w:sz w:val="24"/>
          <w:szCs w:val="24"/>
        </w:rPr>
        <w:t xml:space="preserve"> лейкоз (ЮММЛ, n = 18) (см. раздел 5.1).</w:t>
      </w:r>
    </w:p>
    <w:p w14:paraId="6EA79939" w14:textId="0E6CB7B8" w:rsidR="00415FEA" w:rsidRPr="00415FEA" w:rsidRDefault="00415FEA" w:rsidP="00415F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5FEA">
        <w:rPr>
          <w:rFonts w:ascii="Times New Roman" w:eastAsia="Times New Roman" w:hAnsi="Times New Roman"/>
          <w:sz w:val="24"/>
          <w:szCs w:val="24"/>
        </w:rPr>
        <w:t>Все 28 детей перенесли как минимум одно побочное явление, при этом у 17 (60,7%) были зарегистрированы побочные реакции, связанные с лечением.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>Наиболее часто сообщаемыми побочными реакциями были: лихорадка,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 xml:space="preserve">гематологические нарушения, включая анемию, тромбоцитопению и фебрильную </w:t>
      </w:r>
      <w:proofErr w:type="spellStart"/>
      <w:r w:rsidRPr="00415FEA">
        <w:rPr>
          <w:rFonts w:ascii="Times New Roman" w:eastAsia="Times New Roman" w:hAnsi="Times New Roman"/>
          <w:sz w:val="24"/>
          <w:szCs w:val="24"/>
        </w:rPr>
        <w:t>нейтропению</w:t>
      </w:r>
      <w:proofErr w:type="spellEnd"/>
      <w:r w:rsidRPr="00415FEA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>желудочно-кишечные расстройства, такие как запор и рвота.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>У трёх пациентов развились побочные явления, потребовавшие отмены терапии (лихорадка, прогрессирование заболевания и боль в животе).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 xml:space="preserve">В исследовании AZA-AML-004 7 детей (в возрасте от 2 до 12 лет) получали </w:t>
      </w:r>
      <w:proofErr w:type="spellStart"/>
      <w:r w:rsidRPr="00415FEA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415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для лечения</w:t>
      </w:r>
      <w:r w:rsidRPr="00415FEA">
        <w:rPr>
          <w:rFonts w:ascii="Times New Roman" w:eastAsia="Times New Roman" w:hAnsi="Times New Roman"/>
          <w:sz w:val="24"/>
          <w:szCs w:val="24"/>
        </w:rPr>
        <w:t xml:space="preserve"> острого миелоидного лейкоза (ОМЛ) на фоне молекулярного рецидива после первой полной ремиссии (CR1) (см. раздел 5.1).</w:t>
      </w:r>
    </w:p>
    <w:p w14:paraId="2EAE07DC" w14:textId="77777777" w:rsidR="00415FEA" w:rsidRPr="00415FEA" w:rsidRDefault="00415FEA" w:rsidP="00415F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5FEA">
        <w:rPr>
          <w:rFonts w:ascii="Times New Roman" w:eastAsia="Times New Roman" w:hAnsi="Times New Roman"/>
          <w:sz w:val="24"/>
          <w:szCs w:val="24"/>
        </w:rPr>
        <w:t>Все 7 пациентов испытали как минимум одно побочное явление, связанное с лечением.</w:t>
      </w:r>
    </w:p>
    <w:p w14:paraId="07135E84" w14:textId="536C8464" w:rsidR="00415FEA" w:rsidRPr="00415FEA" w:rsidRDefault="00415FEA" w:rsidP="00415F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5FEA">
        <w:rPr>
          <w:rFonts w:ascii="Times New Roman" w:eastAsia="Times New Roman" w:hAnsi="Times New Roman"/>
          <w:sz w:val="24"/>
          <w:szCs w:val="24"/>
        </w:rPr>
        <w:t>Наиболее частыми побочными реакциями были: нейтропения,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>тошнота,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>лейкопения,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>тромбоцитопения,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>диарея,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>повышение уровня аланинаминотрансферазы (АЛТ).</w:t>
      </w:r>
    </w:p>
    <w:p w14:paraId="4517EBB0" w14:textId="1C6A6027" w:rsidR="00467E5B" w:rsidRDefault="00415FEA" w:rsidP="00415F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5FEA">
        <w:rPr>
          <w:rFonts w:ascii="Times New Roman" w:eastAsia="Times New Roman" w:hAnsi="Times New Roman"/>
          <w:sz w:val="24"/>
          <w:szCs w:val="24"/>
        </w:rPr>
        <w:t>У двух пациентов побочные реакции (фебрильная нейтропения и нейтропения) привел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>к временной приостановке лечения.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>Новых сигналов безопасности выявлено не было.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FEA">
        <w:rPr>
          <w:rFonts w:ascii="Times New Roman" w:eastAsia="Times New Roman" w:hAnsi="Times New Roman"/>
          <w:sz w:val="24"/>
          <w:szCs w:val="24"/>
        </w:rPr>
        <w:t>Общий профиль безопасности у детей соответствовал таковому у взрослых пациентов.</w:t>
      </w:r>
    </w:p>
    <w:p w14:paraId="57A84E60" w14:textId="77777777" w:rsidR="00415FEA" w:rsidRPr="00F63FFF" w:rsidRDefault="00415FEA" w:rsidP="00415FE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B9AAC2" w14:textId="77777777" w:rsidR="00467E5B" w:rsidRPr="00F63FFF" w:rsidRDefault="00467E5B" w:rsidP="002053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3FFF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0AD8BCEE" w14:textId="77777777" w:rsidR="00467E5B" w:rsidRPr="00F63FFF" w:rsidRDefault="00467E5B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617611" w:rsidRPr="00F63FFF">
        <w:rPr>
          <w:rFonts w:ascii="Times New Roman" w:hAnsi="Times New Roman"/>
          <w:sz w:val="24"/>
          <w:szCs w:val="24"/>
        </w:rPr>
        <w:t xml:space="preserve">лекарственного препарата </w:t>
      </w:r>
      <w:r w:rsidRPr="00F63FFF">
        <w:rPr>
          <w:rFonts w:ascii="Times New Roman" w:hAnsi="Times New Roman"/>
          <w:sz w:val="24"/>
          <w:szCs w:val="24"/>
        </w:rPr>
        <w:t>с целью обеспечения непрерывного мониторинга соотношения «польза</w:t>
      </w:r>
      <w:r w:rsidR="00617611" w:rsidRPr="00F63FFF">
        <w:rPr>
          <w:rFonts w:ascii="Times New Roman" w:hAnsi="Times New Roman"/>
          <w:sz w:val="24"/>
          <w:szCs w:val="24"/>
        </w:rPr>
        <w:t>-</w:t>
      </w:r>
      <w:r w:rsidRPr="00F63FFF">
        <w:rPr>
          <w:rFonts w:ascii="Times New Roman" w:hAnsi="Times New Roman"/>
          <w:sz w:val="24"/>
          <w:szCs w:val="24"/>
        </w:rPr>
        <w:t xml:space="preserve">риск» </w:t>
      </w:r>
      <w:r w:rsidR="00617611" w:rsidRPr="00F63FFF">
        <w:rPr>
          <w:rFonts w:ascii="Times New Roman" w:hAnsi="Times New Roman"/>
          <w:sz w:val="24"/>
          <w:szCs w:val="24"/>
        </w:rPr>
        <w:t>лекарственного препарата</w:t>
      </w:r>
      <w:r w:rsidRPr="00F63FFF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617611" w:rsidRPr="00F63FFF">
        <w:rPr>
          <w:rFonts w:ascii="Times New Roman" w:hAnsi="Times New Roman"/>
          <w:sz w:val="24"/>
          <w:szCs w:val="24"/>
        </w:rPr>
        <w:t>лекарственного препарата</w:t>
      </w:r>
      <w:r w:rsidRPr="00F63FFF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</w:t>
      </w:r>
      <w:r w:rsidR="00617611" w:rsidRPr="00F63FFF">
        <w:rPr>
          <w:rFonts w:ascii="Times New Roman" w:hAnsi="Times New Roman"/>
          <w:sz w:val="24"/>
          <w:szCs w:val="24"/>
        </w:rPr>
        <w:t>еспублики Казахстан:</w:t>
      </w:r>
    </w:p>
    <w:p w14:paraId="37D4B1E1" w14:textId="77777777" w:rsidR="00467E5B" w:rsidRPr="00F63FFF" w:rsidRDefault="00467E5B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hAnsi="Times New Roman"/>
          <w:sz w:val="24"/>
          <w:szCs w:val="24"/>
        </w:rPr>
        <w:t xml:space="preserve">РГП на ПХВ «Национальный Центр экспертизы лекарственных средств и медицинских изделий» </w:t>
      </w:r>
    </w:p>
    <w:p w14:paraId="75B8E026" w14:textId="77777777" w:rsidR="00467E5B" w:rsidRPr="00F63FFF" w:rsidRDefault="0044127A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467E5B" w:rsidRPr="00F63FFF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67E5B" w:rsidRPr="00F63FFF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67E5B" w:rsidRPr="00F63FFF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67E5B" w:rsidRPr="00F63FFF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67E5B" w:rsidRPr="00F63FFF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67E5B" w:rsidRPr="00F63FFF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67E5B" w:rsidRPr="00F63FFF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507C02B9" w14:textId="77777777" w:rsidR="00617611" w:rsidRPr="00F63FFF" w:rsidRDefault="00617611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8142DB" w14:textId="77777777" w:rsidR="007C1C3E" w:rsidRPr="00F63FFF" w:rsidRDefault="00123DB5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4585EC85" w14:textId="4124A05C" w:rsidR="00EB19E0" w:rsidRPr="00EB19E0" w:rsidRDefault="00EB19E0" w:rsidP="00EB19E0">
      <w:pPr>
        <w:pStyle w:val="a9"/>
        <w:spacing w:after="0"/>
        <w:jc w:val="both"/>
        <w:rPr>
          <w:sz w:val="24"/>
          <w:szCs w:val="24"/>
          <w:lang w:eastAsia="en-US"/>
        </w:rPr>
      </w:pPr>
      <w:r w:rsidRPr="00EB19E0">
        <w:rPr>
          <w:sz w:val="24"/>
          <w:szCs w:val="24"/>
          <w:lang w:eastAsia="en-US"/>
        </w:rPr>
        <w:t xml:space="preserve">В ходе клинических исследований был зарегистрирован один случай передозировки </w:t>
      </w:r>
      <w:proofErr w:type="spellStart"/>
      <w:r w:rsidRPr="00EB19E0">
        <w:rPr>
          <w:sz w:val="24"/>
          <w:szCs w:val="24"/>
          <w:lang w:eastAsia="en-US"/>
        </w:rPr>
        <w:t>азацитидином</w:t>
      </w:r>
      <w:proofErr w:type="spellEnd"/>
      <w:r w:rsidRPr="00EB19E0">
        <w:rPr>
          <w:sz w:val="24"/>
          <w:szCs w:val="24"/>
          <w:lang w:eastAsia="en-US"/>
        </w:rPr>
        <w:t>. Пациент перенёс диарею, тошноту и рвоту после однократного внутривенного введения дозы около 290 мг/м², что почти в 4 раза превышает рекомендованную начальную дозу.</w:t>
      </w:r>
    </w:p>
    <w:p w14:paraId="3DCF7DDD" w14:textId="28344B1F" w:rsidR="00EB19E0" w:rsidRPr="00EB19E0" w:rsidRDefault="00EB19E0" w:rsidP="00EB19E0">
      <w:pPr>
        <w:pStyle w:val="a9"/>
        <w:spacing w:after="0"/>
        <w:jc w:val="both"/>
        <w:rPr>
          <w:sz w:val="24"/>
          <w:szCs w:val="24"/>
          <w:lang w:eastAsia="en-US"/>
        </w:rPr>
      </w:pPr>
      <w:r w:rsidRPr="00EB19E0">
        <w:rPr>
          <w:sz w:val="24"/>
          <w:szCs w:val="24"/>
          <w:lang w:eastAsia="en-US"/>
        </w:rPr>
        <w:t>В случае передозировки пациент должен находиться под наблюдением с контролем показателей крови и при необходимости получать симптоматическое лечение.</w:t>
      </w:r>
    </w:p>
    <w:p w14:paraId="6D3E8141" w14:textId="45121977" w:rsidR="00DD7673" w:rsidRDefault="00EB19E0" w:rsidP="00EB19E0">
      <w:pPr>
        <w:pStyle w:val="a9"/>
        <w:spacing w:after="0"/>
        <w:jc w:val="both"/>
        <w:rPr>
          <w:sz w:val="24"/>
          <w:szCs w:val="24"/>
          <w:lang w:eastAsia="en-US"/>
        </w:rPr>
      </w:pPr>
      <w:r w:rsidRPr="00EB19E0">
        <w:rPr>
          <w:sz w:val="24"/>
          <w:szCs w:val="24"/>
          <w:lang w:eastAsia="en-US"/>
        </w:rPr>
        <w:t xml:space="preserve">Специфического антидота к </w:t>
      </w:r>
      <w:proofErr w:type="spellStart"/>
      <w:r w:rsidRPr="00EB19E0">
        <w:rPr>
          <w:sz w:val="24"/>
          <w:szCs w:val="24"/>
          <w:lang w:eastAsia="en-US"/>
        </w:rPr>
        <w:t>азацитидину</w:t>
      </w:r>
      <w:proofErr w:type="spellEnd"/>
      <w:r w:rsidRPr="00EB19E0">
        <w:rPr>
          <w:sz w:val="24"/>
          <w:szCs w:val="24"/>
          <w:lang w:eastAsia="en-US"/>
        </w:rPr>
        <w:t xml:space="preserve"> не существует.</w:t>
      </w:r>
    </w:p>
    <w:p w14:paraId="6267BF59" w14:textId="77777777" w:rsidR="00EB19E0" w:rsidRPr="00F63FFF" w:rsidRDefault="00EB19E0" w:rsidP="00EB19E0">
      <w:pPr>
        <w:pStyle w:val="a9"/>
        <w:spacing w:after="0"/>
        <w:jc w:val="both"/>
        <w:rPr>
          <w:sz w:val="24"/>
          <w:szCs w:val="24"/>
        </w:rPr>
      </w:pPr>
    </w:p>
    <w:p w14:paraId="11F19F50" w14:textId="77777777" w:rsidR="00C153F2" w:rsidRPr="00F63FFF" w:rsidRDefault="00C153F2" w:rsidP="00C35DC7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63FFF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7D798DE9" w14:textId="77777777" w:rsidR="00C153F2" w:rsidRPr="00F63FFF" w:rsidRDefault="00C153F2" w:rsidP="00C35DC7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63FFF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3B461948" w14:textId="77777777" w:rsidR="00676E43" w:rsidRPr="00F63FFF" w:rsidRDefault="00987376" w:rsidP="00205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bookmarkStart w:id="23" w:name="_Hlk20834354"/>
      <w:proofErr w:type="spellStart"/>
      <w:r w:rsidR="00B562D9" w:rsidRPr="00F63FFF">
        <w:rPr>
          <w:rFonts w:ascii="Times New Roman" w:eastAsia="Times New Roman" w:hAnsi="Times New Roman"/>
          <w:sz w:val="24"/>
          <w:szCs w:val="24"/>
        </w:rPr>
        <w:t>Антинеопластические</w:t>
      </w:r>
      <w:proofErr w:type="spellEnd"/>
      <w:r w:rsidR="00B562D9" w:rsidRPr="00F63FFF">
        <w:rPr>
          <w:rFonts w:ascii="Times New Roman" w:eastAsia="Times New Roman" w:hAnsi="Times New Roman"/>
          <w:sz w:val="24"/>
          <w:szCs w:val="24"/>
        </w:rPr>
        <w:t xml:space="preserve"> препараты. </w:t>
      </w:r>
      <w:r w:rsidR="00DD7673" w:rsidRPr="00F63FFF">
        <w:rPr>
          <w:rFonts w:ascii="Times New Roman" w:eastAsia="Times New Roman" w:hAnsi="Times New Roman"/>
          <w:sz w:val="24"/>
          <w:szCs w:val="24"/>
        </w:rPr>
        <w:t xml:space="preserve">Антиметаболиты. Пиримидиновые аналоги. </w:t>
      </w:r>
      <w:proofErr w:type="spellStart"/>
      <w:r w:rsidR="00DD7673" w:rsidRPr="00F63FFF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="00DD7673" w:rsidRPr="00F63FFF">
        <w:rPr>
          <w:rFonts w:ascii="Times New Roman" w:eastAsia="Times New Roman" w:hAnsi="Times New Roman"/>
          <w:sz w:val="24"/>
          <w:szCs w:val="24"/>
        </w:rPr>
        <w:t>.</w:t>
      </w:r>
    </w:p>
    <w:p w14:paraId="0B44BFE4" w14:textId="77777777" w:rsidR="00DD7673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Код 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AT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Х: 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L</w:t>
      </w:r>
      <w:r w:rsidRPr="00F63FFF">
        <w:rPr>
          <w:rFonts w:ascii="Times New Roman" w:eastAsia="Times New Roman" w:hAnsi="Times New Roman"/>
          <w:sz w:val="24"/>
          <w:szCs w:val="24"/>
        </w:rPr>
        <w:t>01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BC</w:t>
      </w:r>
      <w:r w:rsidRPr="00F63FFF">
        <w:rPr>
          <w:rFonts w:ascii="Times New Roman" w:eastAsia="Times New Roman" w:hAnsi="Times New Roman"/>
          <w:sz w:val="24"/>
          <w:szCs w:val="24"/>
        </w:rPr>
        <w:t>07</w:t>
      </w:r>
    </w:p>
    <w:bookmarkEnd w:id="23"/>
    <w:p w14:paraId="67825469" w14:textId="77777777" w:rsidR="007C1C3E" w:rsidRPr="00F63FFF" w:rsidRDefault="00DD7673" w:rsidP="0020532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3FFF">
        <w:rPr>
          <w:rFonts w:ascii="Times New Roman" w:hAnsi="Times New Roman"/>
          <w:i/>
          <w:sz w:val="24"/>
          <w:szCs w:val="24"/>
        </w:rPr>
        <w:t>Механизм действия</w:t>
      </w:r>
    </w:p>
    <w:p w14:paraId="0DED1E08" w14:textId="77777777" w:rsidR="007C1C3E" w:rsidRPr="00F63FFF" w:rsidRDefault="00DD767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Противоопухолевое действие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обусловлено разнообразными механизмами, включая цитотоксичность в отношении патологически измененных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гематопоэтических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клеток костного мозга 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гипометилирование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ДНК. Механизмы, участвующие в реализации цитотоксического действия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, включают ингибирование синтеза ДНК, РНК и белка, инкорпорацию препарата в ДНК и РНК, а также активацию путей повреждения ДНК.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Непролиферирующие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клетки сравнительно нечувствительны к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азацитидину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. Инкорпорация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в ДНК приводит к инактивации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lastRenderedPageBreak/>
        <w:t>метилтрансферазы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ДНК, в результате чего происходит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гипометилирование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ДНК.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Гипометилирование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ДНК в аберрантно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метилированных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генах, вовлеченное в регуляцию нормального клеточного цикла, включая клеточную дифференциацию и смерть клетки, может вызывать ре-экспрессию гена и восстановление функций подавления опухолевого роста в клетках злокачественных опухолей. </w:t>
      </w:r>
    </w:p>
    <w:p w14:paraId="5CA5E33C" w14:textId="79329FAD" w:rsidR="00DD7673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Относительная клиническая значимость механизма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гипометилирования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ДНК в сравнении с цитотоксическим и другими эффектами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в настоящее время не установлена.</w:t>
      </w:r>
    </w:p>
    <w:p w14:paraId="2839A12F" w14:textId="77777777" w:rsidR="00EB19E0" w:rsidRPr="00EB19E0" w:rsidRDefault="00EB19E0" w:rsidP="00EB19E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EB19E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Клиническая эффективность и безопасность</w:t>
      </w:r>
    </w:p>
    <w:p w14:paraId="462C6B55" w14:textId="77777777" w:rsidR="00EB19E0" w:rsidRPr="00EB19E0" w:rsidRDefault="00EB19E0" w:rsidP="00EB19E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EB19E0">
        <w:rPr>
          <w:rFonts w:ascii="Times New Roman" w:eastAsia="Times New Roman" w:hAnsi="Times New Roman"/>
          <w:i/>
          <w:iCs/>
          <w:sz w:val="24"/>
          <w:szCs w:val="24"/>
        </w:rPr>
        <w:t>Взрослые пациенты (МДС, ХММЛ и ОМЛ [20–30% бластов в костном мозге])</w:t>
      </w:r>
    </w:p>
    <w:p w14:paraId="311E74AC" w14:textId="1B20BB57" w:rsidR="00EB19E0" w:rsidRPr="00EB19E0" w:rsidRDefault="00EB19E0" w:rsidP="00EB19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 xml:space="preserve">Эффективность и безопасность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 xml:space="preserve"> оценивались в международном, многоцентровом, контролируемом, открытом, рандомизированном исследовании III фазы (AZA PH GL 2003 CL 001). В исследование включали взрослых пациентов:</w:t>
      </w:r>
    </w:p>
    <w:p w14:paraId="786EA753" w14:textId="77777777" w:rsidR="00EB19E0" w:rsidRPr="00EB19E0" w:rsidRDefault="00EB19E0" w:rsidP="00EB19E0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142" w:firstLine="218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>с МДС промежуточного-2 и высокого риска по международной прогностической шкале (IPSS),</w:t>
      </w:r>
    </w:p>
    <w:p w14:paraId="481607E0" w14:textId="77777777" w:rsidR="00EB19E0" w:rsidRPr="00EB19E0" w:rsidRDefault="00EB19E0" w:rsidP="00EB19E0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142" w:firstLine="218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>с рефрактерной анемией с избытком бластов (RAEB),</w:t>
      </w:r>
    </w:p>
    <w:p w14:paraId="1038E56F" w14:textId="77777777" w:rsidR="00EB19E0" w:rsidRPr="00EB19E0" w:rsidRDefault="00EB19E0" w:rsidP="00EB19E0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142" w:firstLine="218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>с RAEB в трансформации (RAEB-T),</w:t>
      </w:r>
    </w:p>
    <w:p w14:paraId="44E10A69" w14:textId="77777777" w:rsidR="00EB19E0" w:rsidRDefault="00EB19E0" w:rsidP="00EB19E0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142" w:firstLine="218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 xml:space="preserve">и с модифицированной хронической </w:t>
      </w:r>
      <w:proofErr w:type="spellStart"/>
      <w:r w:rsidRPr="00EB19E0">
        <w:rPr>
          <w:rFonts w:ascii="Times New Roman" w:eastAsia="Times New Roman" w:hAnsi="Times New Roman"/>
          <w:sz w:val="24"/>
          <w:szCs w:val="24"/>
        </w:rPr>
        <w:t>миеломоноцитарной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 xml:space="preserve"> лейкемией (</w:t>
      </w:r>
      <w:proofErr w:type="spellStart"/>
      <w:r w:rsidRPr="00EB19E0">
        <w:rPr>
          <w:rFonts w:ascii="Times New Roman" w:eastAsia="Times New Roman" w:hAnsi="Times New Roman"/>
          <w:sz w:val="24"/>
          <w:szCs w:val="24"/>
        </w:rPr>
        <w:t>mCMML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>) — по классификации FAB (Франко-Американо-Британская система).</w:t>
      </w:r>
    </w:p>
    <w:p w14:paraId="4833D554" w14:textId="396DD068" w:rsidR="00EB19E0" w:rsidRPr="00EB19E0" w:rsidRDefault="00EB19E0" w:rsidP="00EB19E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 xml:space="preserve">Пациенты с RAEB-T (21–30% бластов) по современной классификации ВОЗ считаются пациентами с ОМЛ. </w:t>
      </w:r>
      <w:proofErr w:type="spellStart"/>
      <w:r w:rsidRPr="00EB19E0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 xml:space="preserve"> в комбинации с симптоматической терапией (BSC) (n = 179) сравнивалась со стандартными схемами лечения (CCR). CCR включали:</w:t>
      </w:r>
    </w:p>
    <w:p w14:paraId="078BDFD2" w14:textId="77777777" w:rsidR="00EB19E0" w:rsidRPr="00EB19E0" w:rsidRDefault="00EB19E0" w:rsidP="00EB19E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>только симптоматическую терапию (BSC) (n = 105),</w:t>
      </w:r>
    </w:p>
    <w:p w14:paraId="1C1628C6" w14:textId="77777777" w:rsidR="00EB19E0" w:rsidRPr="00EB19E0" w:rsidRDefault="00EB19E0" w:rsidP="00EB19E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B19E0">
        <w:rPr>
          <w:rFonts w:ascii="Times New Roman" w:eastAsia="Times New Roman" w:hAnsi="Times New Roman"/>
          <w:sz w:val="24"/>
          <w:szCs w:val="24"/>
        </w:rPr>
        <w:t>низкодозную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9E0">
        <w:rPr>
          <w:rFonts w:ascii="Times New Roman" w:eastAsia="Times New Roman" w:hAnsi="Times New Roman"/>
          <w:sz w:val="24"/>
          <w:szCs w:val="24"/>
        </w:rPr>
        <w:t>цитарабиновую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 xml:space="preserve"> терапию + BSC (n = 49),</w:t>
      </w:r>
    </w:p>
    <w:p w14:paraId="1926F139" w14:textId="77777777" w:rsidR="00EB19E0" w:rsidRPr="00EB19E0" w:rsidRDefault="00EB19E0" w:rsidP="00EB19E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>стандартную индукционную химиотерапию + BSC (n = 25).</w:t>
      </w:r>
    </w:p>
    <w:p w14:paraId="0600E184" w14:textId="0A0488C8" w:rsidR="00EB19E0" w:rsidRPr="00EB19E0" w:rsidRDefault="00EB19E0" w:rsidP="00EB19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>Пациенты заранее были распределены врачами в одну из трёх групп CCR, если им не назначал</w:t>
      </w:r>
      <w:r>
        <w:rPr>
          <w:rFonts w:ascii="Times New Roman" w:eastAsia="Times New Roman" w:hAnsi="Times New Roman"/>
          <w:sz w:val="24"/>
          <w:szCs w:val="24"/>
        </w:rPr>
        <w:t xml:space="preserve">ся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>. Чтобы участвовать в исследовании, пациенты должны были иметь статус по шкале ECOG 0–2 (оценка физической активности). Пациенты с вторичным МДС исключались из исследования.</w:t>
      </w:r>
    </w:p>
    <w:p w14:paraId="15804805" w14:textId="782C97D7" w:rsidR="00EB19E0" w:rsidRPr="00EB19E0" w:rsidRDefault="00EB19E0" w:rsidP="00EB19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>Основной целью исследования была общая выживаемость.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5799B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 xml:space="preserve"> вводил</w:t>
      </w:r>
      <w:r w:rsidR="0075799B">
        <w:rPr>
          <w:rFonts w:ascii="Times New Roman" w:eastAsia="Times New Roman" w:hAnsi="Times New Roman"/>
          <w:sz w:val="24"/>
          <w:szCs w:val="24"/>
        </w:rPr>
        <w:t xml:space="preserve">ся </w:t>
      </w:r>
      <w:r w:rsidRPr="00EB19E0">
        <w:rPr>
          <w:rFonts w:ascii="Times New Roman" w:eastAsia="Times New Roman" w:hAnsi="Times New Roman"/>
          <w:sz w:val="24"/>
          <w:szCs w:val="24"/>
        </w:rPr>
        <w:t>подкожно в дозе 75 мг/м² ежедневно в течение 7 дней, с перерывом 21 день (цикл длительностью 28 дней). В среднем пациенты прошли 9 циклов (от 1 до 39), среднее значение — 10,2 цикла.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B19E0">
        <w:rPr>
          <w:rFonts w:ascii="Times New Roman" w:eastAsia="Times New Roman" w:hAnsi="Times New Roman"/>
          <w:sz w:val="24"/>
          <w:szCs w:val="24"/>
        </w:rPr>
        <w:t>Средний возраст участников составил 69 лет (от 38 до 88 лет).</w:t>
      </w:r>
    </w:p>
    <w:p w14:paraId="7B4DB56E" w14:textId="5D7D0C6A" w:rsidR="00EB19E0" w:rsidRPr="00EB19E0" w:rsidRDefault="00EB19E0" w:rsidP="00EB19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 xml:space="preserve">В анализе по принципу «намерение лечить» (ITT), в который вошли 358 пациентов (179 получали </w:t>
      </w:r>
      <w:proofErr w:type="spellStart"/>
      <w:r w:rsidRPr="00EB19E0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 xml:space="preserve">, 179 — стандартную терапию, CCR), лечение </w:t>
      </w:r>
      <w:proofErr w:type="spellStart"/>
      <w:r w:rsidR="00B3069E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 xml:space="preserve"> обеспечивало медиану выживаемости 24,46 месяца по сравнению с 15,02 месяца в группе CCR. Разница составила 9,4 месяца, p = 0,0001 (стратифицированный лог-ранговый тест).</w:t>
      </w:r>
    </w:p>
    <w:p w14:paraId="0F5C6001" w14:textId="4B72F6C0" w:rsidR="00EB19E0" w:rsidRPr="00EB19E0" w:rsidRDefault="00EB19E0" w:rsidP="00EB19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 xml:space="preserve">Отношение рисков (HR) составило 0,58 (95% ДИ: 0,43–0,77), что указывает на снижение риска смерти на 42% при применении </w:t>
      </w:r>
      <w:proofErr w:type="spellStart"/>
      <w:r w:rsidR="00B3069E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>.</w:t>
      </w:r>
    </w:p>
    <w:p w14:paraId="526EEF0F" w14:textId="65DBC587" w:rsidR="00EB19E0" w:rsidRPr="00EB19E0" w:rsidRDefault="00EB19E0" w:rsidP="00EB19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19E0">
        <w:rPr>
          <w:rFonts w:ascii="Times New Roman" w:eastAsia="Times New Roman" w:hAnsi="Times New Roman"/>
          <w:sz w:val="24"/>
          <w:szCs w:val="24"/>
        </w:rPr>
        <w:t xml:space="preserve">Через два года выживали 50,8% пациентов, получавших </w:t>
      </w:r>
      <w:proofErr w:type="spellStart"/>
      <w:r w:rsidRPr="00EB19E0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EB19E0">
        <w:rPr>
          <w:rFonts w:ascii="Times New Roman" w:eastAsia="Times New Roman" w:hAnsi="Times New Roman"/>
          <w:sz w:val="24"/>
          <w:szCs w:val="24"/>
        </w:rPr>
        <w:t>, против 26,2% в группе CCR (p &lt; 0,0001).</w:t>
      </w:r>
    </w:p>
    <w:p w14:paraId="1FE78CC3" w14:textId="5E0EE9B4" w:rsidR="00EB19E0" w:rsidRDefault="00EB7C8A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B7C8A">
        <w:rPr>
          <w:rFonts w:ascii="Times New Roman" w:hAnsi="Times New Roman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8C19EF" wp14:editId="110DB6BB">
                <wp:simplePos x="0" y="0"/>
                <wp:positionH relativeFrom="margin">
                  <wp:posOffset>22860</wp:posOffset>
                </wp:positionH>
                <wp:positionV relativeFrom="paragraph">
                  <wp:posOffset>887730</wp:posOffset>
                </wp:positionV>
                <wp:extent cx="381000" cy="149352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ABF7" w14:textId="59B8FC12" w:rsidR="00EB7C8A" w:rsidRPr="00EB7C8A" w:rsidRDefault="00EB7C8A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B7C8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Пропорция выживаемости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C19E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.8pt;margin-top:69.9pt;width:30pt;height:11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" stroked="f">
                <v:textbox style="layout-flow:vertical;mso-layout-flow-alt:bottom-to-top">
                  <w:txbxContent>
                    <w:p w14:paraId="25FEABF7" w14:textId="59B8FC12" w:rsidR="00EB7C8A" w:rsidRPr="00EB7C8A" w:rsidRDefault="00EB7C8A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B7C8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Пропорция выживаемости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069E" w:rsidRPr="00B3069E">
        <w:rPr>
          <w:rFonts w:ascii="Times New Roman" w:hAnsi="Times New Roman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95E9CA" wp14:editId="63A47DD3">
                <wp:simplePos x="0" y="0"/>
                <wp:positionH relativeFrom="column">
                  <wp:posOffset>3308985</wp:posOffset>
                </wp:positionH>
                <wp:positionV relativeFrom="paragraph">
                  <wp:posOffset>232410</wp:posOffset>
                </wp:positionV>
                <wp:extent cx="1783080" cy="617220"/>
                <wp:effectExtent l="0" t="0" r="762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BF7E" w14:textId="1C0F1331" w:rsidR="00B3069E" w:rsidRPr="00B3069E" w:rsidRDefault="00B3069E" w:rsidP="00B3069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 w:rsidRPr="00B3069E"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Стратифицированный лог-ранговый критерий: p = 0,0001</w:t>
                            </w:r>
                          </w:p>
                          <w:p w14:paraId="2DBB2D00" w14:textId="77777777" w:rsidR="00B3069E" w:rsidRPr="00B3069E" w:rsidRDefault="00B3069E" w:rsidP="00B3069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 w:rsidRPr="00B3069E"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Отношение рисков (HR): 0,58 (95% ДИ: 0,43–0,77)</w:t>
                            </w:r>
                          </w:p>
                          <w:p w14:paraId="2ECFC0E1" w14:textId="0CB87938" w:rsidR="00B3069E" w:rsidRPr="00B3069E" w:rsidRDefault="00B3069E" w:rsidP="00B3069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 w:rsidRPr="00B3069E"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Количество случаев смерти: азацитидин — 82, CCR — 113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E9CA" id="_x0000_s1027" type="#_x0000_t202" style="position:absolute;left:0;text-align:left;margin-left:260.55pt;margin-top:18.3pt;width:140.4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" stroked="f">
                <v:textbox>
                  <w:txbxContent>
                    <w:p w14:paraId="762CBF7E" w14:textId="1C0F1331" w:rsidR="00B3069E" w:rsidRPr="00B3069E" w:rsidRDefault="00B3069E" w:rsidP="00B3069E">
                      <w:pPr>
                        <w:spacing w:after="0" w:line="240" w:lineRule="auto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 w:rsidRPr="00B3069E">
                        <w:rPr>
                          <w:rFonts w:ascii="Times New Roman" w:hAnsi="Times New Roman"/>
                          <w:sz w:val="12"/>
                          <w:szCs w:val="12"/>
                        </w:rPr>
                        <w:t>Стратифицированный лог-ранговый критерий: p = 0,0001</w:t>
                      </w:r>
                    </w:p>
                    <w:p w14:paraId="2DBB2D00" w14:textId="77777777" w:rsidR="00B3069E" w:rsidRPr="00B3069E" w:rsidRDefault="00B3069E" w:rsidP="00B3069E">
                      <w:pPr>
                        <w:spacing w:after="0" w:line="240" w:lineRule="auto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 w:rsidRPr="00B3069E">
                        <w:rPr>
                          <w:rFonts w:ascii="Times New Roman" w:hAnsi="Times New Roman"/>
                          <w:sz w:val="12"/>
                          <w:szCs w:val="12"/>
                        </w:rPr>
                        <w:t>Отношение рисков (HR): 0,58 (95% ДИ: 0,43–0,77)</w:t>
                      </w:r>
                    </w:p>
                    <w:p w14:paraId="2ECFC0E1" w14:textId="0CB87938" w:rsidR="00B3069E" w:rsidRPr="00B3069E" w:rsidRDefault="00B3069E" w:rsidP="00B3069E">
                      <w:pPr>
                        <w:spacing w:after="0" w:line="240" w:lineRule="auto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 w:rsidRPr="00B3069E">
                        <w:rPr>
                          <w:rFonts w:ascii="Times New Roman" w:hAnsi="Times New Roman"/>
                          <w:sz w:val="12"/>
                          <w:szCs w:val="12"/>
                        </w:rPr>
                        <w:t>Количество случаев смерти: азацитидин — 82, CCR — 113</w:t>
                      </w:r>
                    </w:p>
                  </w:txbxContent>
                </v:textbox>
              </v:shape>
            </w:pict>
          </mc:Fallback>
        </mc:AlternateContent>
      </w:r>
      <w:r w:rsidR="00B3069E">
        <w:rPr>
          <w:noProof/>
        </w:rPr>
        <w:drawing>
          <wp:inline distT="0" distB="0" distL="0" distR="0" wp14:anchorId="6F39845F" wp14:editId="52021C8A">
            <wp:extent cx="5690931" cy="32461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774" cy="324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B3956" w14:textId="36076B20" w:rsidR="00B3069E" w:rsidRDefault="00B3069E" w:rsidP="00B3069E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B3069E">
        <w:rPr>
          <w:rFonts w:ascii="Times New Roman" w:hAnsi="Times New Roman"/>
          <w:b/>
          <w:bCs/>
          <w:sz w:val="16"/>
          <w:szCs w:val="16"/>
        </w:rPr>
        <w:t>Время (месяцы) от рандомизации</w:t>
      </w:r>
    </w:p>
    <w:p w14:paraId="55A56C56" w14:textId="463A048C" w:rsidR="00B3069E" w:rsidRDefault="00B3069E" w:rsidP="00B3069E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</w:tblGrid>
      <w:tr w:rsidR="00B3069E" w:rsidRPr="00B3069E" w14:paraId="23B6EF05" w14:textId="77777777" w:rsidTr="00B3069E">
        <w:tc>
          <w:tcPr>
            <w:tcW w:w="906" w:type="dxa"/>
          </w:tcPr>
          <w:p w14:paraId="70DB279F" w14:textId="7902AB9E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069E">
              <w:rPr>
                <w:rFonts w:ascii="Times New Roman" w:hAnsi="Times New Roman"/>
                <w:sz w:val="16"/>
                <w:szCs w:val="16"/>
                <w:lang w:val="en-US"/>
              </w:rPr>
              <w:t>AZA</w:t>
            </w:r>
          </w:p>
        </w:tc>
        <w:tc>
          <w:tcPr>
            <w:tcW w:w="906" w:type="dxa"/>
          </w:tcPr>
          <w:p w14:paraId="228BF60D" w14:textId="6086E07F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179</w:t>
            </w:r>
          </w:p>
        </w:tc>
        <w:tc>
          <w:tcPr>
            <w:tcW w:w="906" w:type="dxa"/>
          </w:tcPr>
          <w:p w14:paraId="6E6B0ACA" w14:textId="6F478B95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906" w:type="dxa"/>
          </w:tcPr>
          <w:p w14:paraId="1B89DED2" w14:textId="2BBD1B8A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906" w:type="dxa"/>
          </w:tcPr>
          <w:p w14:paraId="1335E673" w14:textId="069D451F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906" w:type="dxa"/>
          </w:tcPr>
          <w:p w14:paraId="15D67A2F" w14:textId="4A48DC79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906" w:type="dxa"/>
          </w:tcPr>
          <w:p w14:paraId="601A1D96" w14:textId="4FA89648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06" w:type="dxa"/>
          </w:tcPr>
          <w:p w14:paraId="64EDEC64" w14:textId="6258F6D3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06" w:type="dxa"/>
          </w:tcPr>
          <w:p w14:paraId="16929D8F" w14:textId="0A01D4D9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14:paraId="11B339A3" w14:textId="034F344B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3069E" w:rsidRPr="00B3069E" w14:paraId="0DB15DF4" w14:textId="77777777" w:rsidTr="00B3069E">
        <w:tc>
          <w:tcPr>
            <w:tcW w:w="906" w:type="dxa"/>
          </w:tcPr>
          <w:p w14:paraId="3BFC4D43" w14:textId="70685BBF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069E">
              <w:rPr>
                <w:rFonts w:ascii="Times New Roman" w:hAnsi="Times New Roman"/>
                <w:sz w:val="16"/>
                <w:szCs w:val="16"/>
                <w:lang w:val="en-US"/>
              </w:rPr>
              <w:t>CCR</w:t>
            </w:r>
          </w:p>
        </w:tc>
        <w:tc>
          <w:tcPr>
            <w:tcW w:w="906" w:type="dxa"/>
          </w:tcPr>
          <w:p w14:paraId="592CD0E4" w14:textId="560EB273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179</w:t>
            </w:r>
          </w:p>
        </w:tc>
        <w:tc>
          <w:tcPr>
            <w:tcW w:w="906" w:type="dxa"/>
          </w:tcPr>
          <w:p w14:paraId="27569498" w14:textId="2B72F9AF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906" w:type="dxa"/>
          </w:tcPr>
          <w:p w14:paraId="3F8F55EC" w14:textId="0A078A05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906" w:type="dxa"/>
          </w:tcPr>
          <w:p w14:paraId="78E01C3E" w14:textId="57A30FD8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906" w:type="dxa"/>
          </w:tcPr>
          <w:p w14:paraId="48A86ABD" w14:textId="14EF705B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06" w:type="dxa"/>
          </w:tcPr>
          <w:p w14:paraId="0013A403" w14:textId="2162103D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06" w:type="dxa"/>
          </w:tcPr>
          <w:p w14:paraId="0C87C848" w14:textId="4A15B2E0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6" w:type="dxa"/>
          </w:tcPr>
          <w:p w14:paraId="501B26AF" w14:textId="3D7C167D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14:paraId="3CA7D55E" w14:textId="5C778E74" w:rsidR="00B3069E" w:rsidRPr="00B3069E" w:rsidRDefault="00B3069E" w:rsidP="00B306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69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14:paraId="2A540F2E" w14:textId="77777777" w:rsidR="00B3069E" w:rsidRDefault="00B3069E" w:rsidP="00B3069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ACD3884" w14:textId="7DE1630F" w:rsidR="00B3069E" w:rsidRPr="00B3069E" w:rsidRDefault="00B3069E" w:rsidP="00B3069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3069E">
        <w:rPr>
          <w:rFonts w:ascii="Times New Roman" w:hAnsi="Times New Roman"/>
          <w:sz w:val="18"/>
          <w:szCs w:val="18"/>
        </w:rPr>
        <w:t xml:space="preserve">AZA — </w:t>
      </w:r>
      <w:proofErr w:type="spellStart"/>
      <w:r w:rsidRPr="00B3069E">
        <w:rPr>
          <w:rFonts w:ascii="Times New Roman" w:hAnsi="Times New Roman"/>
          <w:sz w:val="18"/>
          <w:szCs w:val="18"/>
        </w:rPr>
        <w:t>азацитидин</w:t>
      </w:r>
      <w:proofErr w:type="spellEnd"/>
      <w:r w:rsidRPr="00B3069E">
        <w:rPr>
          <w:rFonts w:ascii="Times New Roman" w:hAnsi="Times New Roman"/>
          <w:sz w:val="18"/>
          <w:szCs w:val="18"/>
        </w:rPr>
        <w:t>; CCR — стандартные схемы лечения; CI — доверительный интервал; HR — отношение рисков.</w:t>
      </w:r>
    </w:p>
    <w:p w14:paraId="31D8FEE7" w14:textId="75D72F4D" w:rsidR="00B3069E" w:rsidRDefault="00B3069E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609EC3" w14:textId="674A505C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Преимущество </w:t>
      </w:r>
      <w:proofErr w:type="spellStart"/>
      <w:r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в отношении выживаемости сохранялось независимо от применённой схемы лечения в контрольной группе CCR (только симптоматическая терапия, </w:t>
      </w:r>
      <w:proofErr w:type="spellStart"/>
      <w:r w:rsidRPr="00EB7C8A">
        <w:rPr>
          <w:rFonts w:ascii="Times New Roman" w:hAnsi="Times New Roman"/>
          <w:sz w:val="24"/>
          <w:szCs w:val="24"/>
        </w:rPr>
        <w:t>низкодозный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C8A">
        <w:rPr>
          <w:rFonts w:ascii="Times New Roman" w:hAnsi="Times New Roman"/>
          <w:sz w:val="24"/>
          <w:szCs w:val="24"/>
        </w:rPr>
        <w:t>цитарабин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с симптоматической терапией или стандартная индукционная химиотерапия с симптоматической терапией).</w:t>
      </w:r>
    </w:p>
    <w:p w14:paraId="1EE8BC0D" w14:textId="6A36AF9C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Анализ цитогенетических подгрупп по шкале IPSS продемонстрировал сопоставимые значения медианы общей выживаемости во всех группах (благоприятный, промежуточный и неблагоприятный кариотип, включая </w:t>
      </w:r>
      <w:proofErr w:type="spellStart"/>
      <w:r w:rsidRPr="00EB7C8A">
        <w:rPr>
          <w:rFonts w:ascii="Times New Roman" w:hAnsi="Times New Roman"/>
          <w:sz w:val="24"/>
          <w:szCs w:val="24"/>
        </w:rPr>
        <w:t>моносомию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7).</w:t>
      </w:r>
    </w:p>
    <w:p w14:paraId="7C9D0621" w14:textId="4EFBE137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>В возрастных подгруппах также наблюдалось увеличение медианы общей выживаемости во всех категориях: &lt; 65 лет, ≥ 65 лет и ≥ 75 лет.</w:t>
      </w:r>
    </w:p>
    <w:p w14:paraId="57D579C9" w14:textId="2FFBEA40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Лечение </w:t>
      </w:r>
      <w:proofErr w:type="spellStart"/>
      <w:r w:rsidRPr="00EB7C8A">
        <w:rPr>
          <w:rFonts w:ascii="Times New Roman" w:hAnsi="Times New Roman"/>
          <w:sz w:val="24"/>
          <w:szCs w:val="24"/>
        </w:rPr>
        <w:t>азацитидином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было связано с увеличением медианного времени до смерти или трансформации в острый </w:t>
      </w:r>
      <w:proofErr w:type="spellStart"/>
      <w:r w:rsidRPr="00EB7C8A">
        <w:rPr>
          <w:rFonts w:ascii="Times New Roman" w:hAnsi="Times New Roman"/>
          <w:sz w:val="24"/>
          <w:szCs w:val="24"/>
        </w:rPr>
        <w:t>миелобластный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лейкоз (13,0 месяца против 7,6 месяца в группе CCR), что соответствовало улучшению на 5,4 месяца (p = 0,0025, стратифицированный лог-ранговый тест).</w:t>
      </w:r>
    </w:p>
    <w:p w14:paraId="3705CEFE" w14:textId="6E5668F9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На фоне терапии </w:t>
      </w:r>
      <w:proofErr w:type="spellStart"/>
      <w:r w:rsidRPr="00EB7C8A">
        <w:rPr>
          <w:rFonts w:ascii="Times New Roman" w:hAnsi="Times New Roman"/>
          <w:sz w:val="24"/>
          <w:szCs w:val="24"/>
        </w:rPr>
        <w:t>азацитидином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отмечалось снижение частоты </w:t>
      </w:r>
      <w:proofErr w:type="spellStart"/>
      <w:r w:rsidRPr="00EB7C8A">
        <w:rPr>
          <w:rFonts w:ascii="Times New Roman" w:hAnsi="Times New Roman"/>
          <w:sz w:val="24"/>
          <w:szCs w:val="24"/>
        </w:rPr>
        <w:t>цитопений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и выраженности сопутствующих симптомов, а также уменьшение потребности в трансфузиях эритроцитов и тромбоцитов. Среди пациентов, зависимых от </w:t>
      </w:r>
      <w:proofErr w:type="spellStart"/>
      <w:r w:rsidRPr="00EB7C8A">
        <w:rPr>
          <w:rFonts w:ascii="Times New Roman" w:hAnsi="Times New Roman"/>
          <w:sz w:val="24"/>
          <w:szCs w:val="24"/>
        </w:rPr>
        <w:t>эритроцитарных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трансфузий на момент включения, 45,0% стали </w:t>
      </w:r>
      <w:proofErr w:type="spellStart"/>
      <w:r w:rsidRPr="00EB7C8A">
        <w:rPr>
          <w:rFonts w:ascii="Times New Roman" w:hAnsi="Times New Roman"/>
          <w:sz w:val="24"/>
          <w:szCs w:val="24"/>
        </w:rPr>
        <w:t>трансфузионно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независимыми в ходе лечения, по сравнению с 11,4% в объединённой группе CCR. Различие составило 33,6% (95% ДИ: 22,4–44,6; p &lt; 0,0001) и было статистически значимым.</w:t>
      </w:r>
    </w:p>
    <w:p w14:paraId="5B3E83C6" w14:textId="74E2C4FB" w:rsidR="00B3069E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У пациентов, достигших </w:t>
      </w:r>
      <w:proofErr w:type="spellStart"/>
      <w:r w:rsidRPr="00EB7C8A">
        <w:rPr>
          <w:rFonts w:ascii="Times New Roman" w:hAnsi="Times New Roman"/>
          <w:sz w:val="24"/>
          <w:szCs w:val="24"/>
        </w:rPr>
        <w:t>трансфузионной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независимости по эритроцитам, медианная её продолжительность в группе </w:t>
      </w:r>
      <w:proofErr w:type="spellStart"/>
      <w:r w:rsidRPr="00EB7C8A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составила 13 месяцев.</w:t>
      </w:r>
    </w:p>
    <w:p w14:paraId="5E483045" w14:textId="77777777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Оценка ответа на лечение проводилась исследователем или Независимым экспертным комитетом (IRC). Частота общего ответа (полная ремиссия [CR] + частичная ремиссия [PR]) по оценке исследователя составила 29% в группе </w:t>
      </w:r>
      <w:proofErr w:type="spellStart"/>
      <w:r w:rsidRPr="00EB7C8A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и 12% — в объединённой группе CCR (p = 0,0001). По оценке IRC в исследовании AZA PH GL 2003 CL 001 частота общего ответа (CR + PR) составила 7% (12 из 179) в группе </w:t>
      </w:r>
      <w:proofErr w:type="spellStart"/>
      <w:r w:rsidRPr="00EB7C8A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и 1% (2 из 179) в группе CCR (p = 0,0113).</w:t>
      </w:r>
    </w:p>
    <w:p w14:paraId="1270C1E1" w14:textId="77777777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lastRenderedPageBreak/>
        <w:t>Различия между оценками IRC и исследователя объясняются тем, что критерии Международной рабочей группы (IWG) требуют улучшения показателей периферической крови с сохранением этих улучшений в течение как минимум 56 дней.</w:t>
      </w:r>
    </w:p>
    <w:p w14:paraId="0ACA7D0E" w14:textId="77777777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При этом клиническая польза терапии </w:t>
      </w:r>
      <w:proofErr w:type="spellStart"/>
      <w:r w:rsidRPr="00EB7C8A">
        <w:rPr>
          <w:rFonts w:ascii="Times New Roman" w:hAnsi="Times New Roman"/>
          <w:sz w:val="24"/>
          <w:szCs w:val="24"/>
        </w:rPr>
        <w:t>азацитидином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отмечалась и у пациентов, не достигших полной или частичной ремиссии. Гематологическое улучшение (значительное или незначительное) по оценке IRC наблюдалось у 49% пациентов в группе </w:t>
      </w:r>
      <w:proofErr w:type="spellStart"/>
      <w:r w:rsidRPr="00EB7C8A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по сравнению с 29% в группе CCR (p &lt; 0,0001).</w:t>
      </w:r>
    </w:p>
    <w:p w14:paraId="152C2AED" w14:textId="77777777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У пациентов с одной или несколькими цитогенетическими аномалиями на исходном уровне частота значительного цитогенетического ответа была сопоставима между группами. Однако частота незначительного цитогенетического ответа была статистически значимо выше в группе </w:t>
      </w:r>
      <w:proofErr w:type="spellStart"/>
      <w:r w:rsidRPr="00EB7C8A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(34%) по сравнению с группой CCR (10%) (p = 0,0015).</w:t>
      </w:r>
    </w:p>
    <w:p w14:paraId="549E32D8" w14:textId="015D22CA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B7C8A">
        <w:rPr>
          <w:rFonts w:ascii="Times New Roman" w:hAnsi="Times New Roman"/>
          <w:i/>
          <w:iCs/>
          <w:sz w:val="24"/>
          <w:szCs w:val="24"/>
        </w:rPr>
        <w:t>Взрослые пациенты в возрасте 65 лет и старше с ОМЛ и &gt;30% бластов в костном мозге</w:t>
      </w:r>
    </w:p>
    <w:p w14:paraId="3D031F32" w14:textId="6D0C5BFF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>Представленные ниже данные относятся к популяции по принципу «намерение лечить» (ITT) из исследования AZA-AML-001 (см. раздел 4.1 по зарегистрированному показанию).</w:t>
      </w:r>
    </w:p>
    <w:p w14:paraId="4B84164C" w14:textId="480A5DF0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Эффективность и безопасность </w:t>
      </w:r>
      <w:proofErr w:type="spellStart"/>
      <w:r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изучались в международном, многоцентровом, контролируемом, открытом, рандомизированном исследовании III фазы у пациентов в возрасте 65 лет и старше с впервые диагностированной (</w:t>
      </w:r>
      <w:proofErr w:type="spellStart"/>
      <w:r w:rsidRPr="00EB7C8A">
        <w:rPr>
          <w:rFonts w:ascii="Times New Roman" w:hAnsi="Times New Roman"/>
          <w:sz w:val="24"/>
          <w:szCs w:val="24"/>
        </w:rPr>
        <w:t>de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C8A">
        <w:rPr>
          <w:rFonts w:ascii="Times New Roman" w:hAnsi="Times New Roman"/>
          <w:sz w:val="24"/>
          <w:szCs w:val="24"/>
        </w:rPr>
        <w:t>novo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) или вторичной острым </w:t>
      </w:r>
      <w:proofErr w:type="spellStart"/>
      <w:r w:rsidRPr="00EB7C8A">
        <w:rPr>
          <w:rFonts w:ascii="Times New Roman" w:hAnsi="Times New Roman"/>
          <w:sz w:val="24"/>
          <w:szCs w:val="24"/>
        </w:rPr>
        <w:t>миелобластным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лейкозом (ОМЛ) с более чем 30% бластов в костном мозге (по классификации ВОЗ), не подлежащих трансплантации гемопоэтических стволовых клеток (ТГСК).</w:t>
      </w:r>
    </w:p>
    <w:p w14:paraId="42FF12B2" w14:textId="53EBFFEE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в сочетании с симптоматической терапией (BSC) (n = 241) сравнивалась со стандартными схемами лечения (CCR), включающими: только BSC (n = 45), </w:t>
      </w:r>
      <w:proofErr w:type="spellStart"/>
      <w:r w:rsidRPr="00EB7C8A">
        <w:rPr>
          <w:rFonts w:ascii="Times New Roman" w:hAnsi="Times New Roman"/>
          <w:sz w:val="24"/>
          <w:szCs w:val="24"/>
        </w:rPr>
        <w:t>низкодозный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C8A">
        <w:rPr>
          <w:rFonts w:ascii="Times New Roman" w:hAnsi="Times New Roman"/>
          <w:sz w:val="24"/>
          <w:szCs w:val="24"/>
        </w:rPr>
        <w:t>цитарабин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+ BSC (n = 158), стандартную индукционную химиотерапию с </w:t>
      </w:r>
      <w:proofErr w:type="spellStart"/>
      <w:r w:rsidRPr="00EB7C8A">
        <w:rPr>
          <w:rFonts w:ascii="Times New Roman" w:hAnsi="Times New Roman"/>
          <w:sz w:val="24"/>
          <w:szCs w:val="24"/>
        </w:rPr>
        <w:t>цитарабином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7C8A">
        <w:rPr>
          <w:rFonts w:ascii="Times New Roman" w:hAnsi="Times New Roman"/>
          <w:sz w:val="24"/>
          <w:szCs w:val="24"/>
        </w:rPr>
        <w:t>антрациклином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+ BSC (n = 44). Назначение схемы CCR осуществлялось до рандомизации лечащим врачом. Пациенты получали заранее определённую схему, если не были рандомизированы в группу </w:t>
      </w:r>
      <w:proofErr w:type="spellStart"/>
      <w:r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EB7C8A">
        <w:rPr>
          <w:rFonts w:ascii="Times New Roman" w:hAnsi="Times New Roman"/>
          <w:sz w:val="24"/>
          <w:szCs w:val="24"/>
        </w:rPr>
        <w:t>.</w:t>
      </w:r>
    </w:p>
    <w:p w14:paraId="2BDB59F9" w14:textId="1FC63D2E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>Критерии включения предполагали статус по шкале ECOG 0–2 и наличие промежуточных или неблагоприятных цитогенетических нарушений. Основной конечной точкой исследования была общая выживаемость.</w:t>
      </w:r>
    </w:p>
    <w:p w14:paraId="1917691F" w14:textId="7998B740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вводил</w:t>
      </w:r>
      <w:r>
        <w:rPr>
          <w:rFonts w:ascii="Times New Roman" w:hAnsi="Times New Roman"/>
          <w:sz w:val="24"/>
          <w:szCs w:val="24"/>
        </w:rPr>
        <w:t>ся</w:t>
      </w:r>
      <w:r w:rsidRPr="00EB7C8A">
        <w:rPr>
          <w:rFonts w:ascii="Times New Roman" w:hAnsi="Times New Roman"/>
          <w:sz w:val="24"/>
          <w:szCs w:val="24"/>
        </w:rPr>
        <w:t xml:space="preserve"> подкожно в дозе 75 мг/м² ежедневно в течение 7 дней, затем следовал 21-дневный перерыв (28-дневный цикл терапии). Медианное число циклов составило 6 (диапазон: 1–28). Для подгрупп в контрольной группе медиана составила:</w:t>
      </w:r>
    </w:p>
    <w:p w14:paraId="32287E90" w14:textId="77777777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>– только BSC: 3 цикла (1–20),</w:t>
      </w:r>
    </w:p>
    <w:p w14:paraId="568C2BE9" w14:textId="77777777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EB7C8A">
        <w:rPr>
          <w:rFonts w:ascii="Times New Roman" w:hAnsi="Times New Roman"/>
          <w:sz w:val="24"/>
          <w:szCs w:val="24"/>
        </w:rPr>
        <w:t>низкодозный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C8A">
        <w:rPr>
          <w:rFonts w:ascii="Times New Roman" w:hAnsi="Times New Roman"/>
          <w:sz w:val="24"/>
          <w:szCs w:val="24"/>
        </w:rPr>
        <w:t>цитарабин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+ BSC: 4 цикла (1–25),</w:t>
      </w:r>
    </w:p>
    <w:p w14:paraId="1641CA86" w14:textId="144C89D4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>– стандартная индукционная химиотерапия: 2 цикла (1–3; один индукционный + 1 или 2 консолидационных).</w:t>
      </w:r>
    </w:p>
    <w:p w14:paraId="7503420E" w14:textId="4FC68421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Исходные характеристики пациентов в группах </w:t>
      </w:r>
      <w:proofErr w:type="spellStart"/>
      <w:r w:rsidR="005B13A3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и CCR были сопоставимыми. Медианный возраст составил 75,0 лет (диапазон: от 64 до 91 года), 75,2% были европеоидной расы, 59,0% — мужчины.</w:t>
      </w:r>
    </w:p>
    <w:p w14:paraId="190A08F3" w14:textId="77777777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>На момент включения:</w:t>
      </w:r>
    </w:p>
    <w:p w14:paraId="3106217A" w14:textId="77777777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>– 60,7% классифицировались как ОМЛ без уточнений,</w:t>
      </w:r>
    </w:p>
    <w:p w14:paraId="533F1EEF" w14:textId="77777777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– 32,4% — ОМЛ с </w:t>
      </w:r>
      <w:proofErr w:type="spellStart"/>
      <w:r w:rsidRPr="00EB7C8A">
        <w:rPr>
          <w:rFonts w:ascii="Times New Roman" w:hAnsi="Times New Roman"/>
          <w:sz w:val="24"/>
          <w:szCs w:val="24"/>
        </w:rPr>
        <w:t>миелодиспластическими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изменениями,</w:t>
      </w:r>
    </w:p>
    <w:p w14:paraId="379299F5" w14:textId="77777777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>– 4,1% — терапия-ассоциированный ОМЛ,</w:t>
      </w:r>
    </w:p>
    <w:p w14:paraId="57A6EECB" w14:textId="0DC7B591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>– 2,9% — ОМЛ с рецидивирующими генетическими аномалиями (по классификации ВОЗ).</w:t>
      </w:r>
    </w:p>
    <w:p w14:paraId="3A23B810" w14:textId="39FE07BE" w:rsidR="00EB7C8A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В анализе по принципу ITT (488 пациентов: 241 — </w:t>
      </w:r>
      <w:proofErr w:type="spellStart"/>
      <w:r w:rsidR="005B13A3"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, 247 — CCR) лечение </w:t>
      </w:r>
      <w:proofErr w:type="spellStart"/>
      <w:r w:rsidRPr="00EB7C8A">
        <w:rPr>
          <w:rFonts w:ascii="Times New Roman" w:hAnsi="Times New Roman"/>
          <w:sz w:val="24"/>
          <w:szCs w:val="24"/>
        </w:rPr>
        <w:t>азацитидином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обеспечивало медиану общей выживаемости 10,4 месяца против 6,5 месяцев в группе CCR. Разница составила 3,8 месяца, p = 0,1009 (двусторонний, </w:t>
      </w:r>
      <w:r w:rsidRPr="00EB7C8A">
        <w:rPr>
          <w:rFonts w:ascii="Times New Roman" w:hAnsi="Times New Roman"/>
          <w:sz w:val="24"/>
          <w:szCs w:val="24"/>
        </w:rPr>
        <w:lastRenderedPageBreak/>
        <w:t>стратифицированный лог-ранговый тест). Отношение рисков составило 0,85 (95% ДИ: 0,69–1,03).</w:t>
      </w:r>
    </w:p>
    <w:p w14:paraId="5C9933F2" w14:textId="46A25534" w:rsidR="00B3069E" w:rsidRPr="00EB7C8A" w:rsidRDefault="00EB7C8A" w:rsidP="00EB7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A">
        <w:rPr>
          <w:rFonts w:ascii="Times New Roman" w:hAnsi="Times New Roman"/>
          <w:sz w:val="24"/>
          <w:szCs w:val="24"/>
        </w:rPr>
        <w:t xml:space="preserve">Однолетняя выживаемость составила 46,5% в группе </w:t>
      </w:r>
      <w:proofErr w:type="spellStart"/>
      <w:r w:rsidR="005B13A3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EB7C8A">
        <w:rPr>
          <w:rFonts w:ascii="Times New Roman" w:hAnsi="Times New Roman"/>
          <w:sz w:val="24"/>
          <w:szCs w:val="24"/>
        </w:rPr>
        <w:t xml:space="preserve"> и 34,3% — в группе CCR.</w:t>
      </w:r>
    </w:p>
    <w:p w14:paraId="2381434D" w14:textId="03243C05" w:rsidR="00B3069E" w:rsidRPr="005B13A3" w:rsidRDefault="005B13A3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3A3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DC9621" wp14:editId="22FF1746">
                <wp:simplePos x="0" y="0"/>
                <wp:positionH relativeFrom="column">
                  <wp:posOffset>1815465</wp:posOffset>
                </wp:positionH>
                <wp:positionV relativeFrom="paragraph">
                  <wp:posOffset>361950</wp:posOffset>
                </wp:positionV>
                <wp:extent cx="3657600" cy="140462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5CB04" w14:textId="77777777" w:rsidR="005B13A3" w:rsidRDefault="005B13A3" w:rsidP="005B1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B13A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Нестратифицированный Log-rank p = 0,0829; стратифицированный Log-rank p = 0,1009; медиана выживаемости: азацитидин — 10,4 мес (8,0–12,7), CCR — 6,5 мес (5,0–8,6); события: азацитидин — 193 (80,1%), CCR — 201 (81,4%); </w:t>
                            </w:r>
                          </w:p>
                          <w:p w14:paraId="045EE318" w14:textId="77777777" w:rsidR="005B13A3" w:rsidRDefault="005B13A3" w:rsidP="005B1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B13A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цензурировано: азацитидин — 48 (19,9%), CCR — 46 (18,6%); </w:t>
                            </w:r>
                          </w:p>
                          <w:p w14:paraId="47C60B20" w14:textId="40D34730" w:rsidR="005B13A3" w:rsidRPr="005B13A3" w:rsidRDefault="005B13A3" w:rsidP="005B1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ОР</w:t>
                            </w:r>
                            <w:r w:rsidRPr="005B13A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: нестратифицированное — 0,84 (95% ДИ: 0,69–1,02), стратифицированное — 0,85 (95% ДИ: 0,69–1,03).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C9621" id="_x0000_s1028" type="#_x0000_t202" style="position:absolute;left:0;text-align:left;margin-left:142.95pt;margin-top:28.5pt;width:4in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" stroked="f">
                <v:textbox style="mso-fit-shape-to-text:t">
                  <w:txbxContent>
                    <w:p w14:paraId="6465CB04" w14:textId="77777777" w:rsidR="005B13A3" w:rsidRDefault="005B13A3" w:rsidP="005B13A3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5B13A3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Нестратифицированный Log-rank p = 0,0829; стратифицированный Log-rank p = 0,1009; медиана выживаемости: азацитидин — 10,4 мес (8,0–12,7), CCR — 6,5 мес (5,0–8,6); события: азацитидин — 193 (80,1%), CCR — 201 (81,4%); </w:t>
                      </w:r>
                    </w:p>
                    <w:p w14:paraId="045EE318" w14:textId="77777777" w:rsidR="005B13A3" w:rsidRDefault="005B13A3" w:rsidP="005B13A3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5B13A3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цензурировано: азацитидин — 48 (19,9%), CCR — 46 (18,6%); </w:t>
                      </w:r>
                    </w:p>
                    <w:p w14:paraId="47C60B20" w14:textId="40D34730" w:rsidR="005B13A3" w:rsidRPr="005B13A3" w:rsidRDefault="005B13A3" w:rsidP="005B13A3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ОР</w:t>
                      </w:r>
                      <w:r w:rsidRPr="005B13A3">
                        <w:rPr>
                          <w:rFonts w:ascii="Times New Roman" w:hAnsi="Times New Roman"/>
                          <w:sz w:val="14"/>
                          <w:szCs w:val="14"/>
                        </w:rPr>
                        <w:t>: нестратифицированное — 0,84 (95% ДИ: 0,69–1,02), стратифицированное — 0,85 (95% ДИ: 0,69–1,03).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3FCA42" wp14:editId="0C418BEA">
            <wp:extent cx="5760085" cy="30829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B55D4" w14:textId="5D4CBCD5" w:rsidR="0020532D" w:rsidRDefault="005B13A3" w:rsidP="005B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5B13A3">
        <w:rPr>
          <w:rFonts w:ascii="Times New Roman" w:hAnsi="Times New Roman"/>
          <w:b/>
          <w:sz w:val="18"/>
          <w:szCs w:val="18"/>
          <w:lang w:eastAsia="ru-RU"/>
        </w:rPr>
        <w:t>Время (месяцы) от рандомизации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6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:rsidR="005B13A3" w:rsidRPr="008F6E12" w14:paraId="280C4715" w14:textId="08F78B92" w:rsidTr="008F6E12">
        <w:tc>
          <w:tcPr>
            <w:tcW w:w="755" w:type="dxa"/>
          </w:tcPr>
          <w:p w14:paraId="1ADDDD5D" w14:textId="0B888FBB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  <w:t>CCR</w:t>
            </w:r>
          </w:p>
        </w:tc>
        <w:tc>
          <w:tcPr>
            <w:tcW w:w="755" w:type="dxa"/>
          </w:tcPr>
          <w:p w14:paraId="4C81F7E0" w14:textId="23622EA3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755" w:type="dxa"/>
          </w:tcPr>
          <w:p w14:paraId="310F23F8" w14:textId="1A949D5A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56" w:type="dxa"/>
          </w:tcPr>
          <w:p w14:paraId="2CE3A189" w14:textId="4026CBCD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55" w:type="dxa"/>
          </w:tcPr>
          <w:p w14:paraId="33B8C057" w14:textId="69F88FB4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55" w:type="dxa"/>
          </w:tcPr>
          <w:p w14:paraId="51B78C97" w14:textId="4E577505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55" w:type="dxa"/>
          </w:tcPr>
          <w:p w14:paraId="09996589" w14:textId="53682A3C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55" w:type="dxa"/>
          </w:tcPr>
          <w:p w14:paraId="5CD8E2BA" w14:textId="6D55AB04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55" w:type="dxa"/>
          </w:tcPr>
          <w:p w14:paraId="077EEEFD" w14:textId="208E13EF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5" w:type="dxa"/>
          </w:tcPr>
          <w:p w14:paraId="2BA3053A" w14:textId="059F8A40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5" w:type="dxa"/>
          </w:tcPr>
          <w:p w14:paraId="43659C75" w14:textId="5487653B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</w:tcPr>
          <w:p w14:paraId="1BB22653" w14:textId="69437A2C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5B13A3" w:rsidRPr="008F6E12" w14:paraId="6C1AEE9F" w14:textId="1C75002B" w:rsidTr="008F6E12">
        <w:tc>
          <w:tcPr>
            <w:tcW w:w="755" w:type="dxa"/>
          </w:tcPr>
          <w:p w14:paraId="7A0FAF44" w14:textId="061BD6C0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  <w:t>AZA</w:t>
            </w:r>
          </w:p>
        </w:tc>
        <w:tc>
          <w:tcPr>
            <w:tcW w:w="755" w:type="dxa"/>
          </w:tcPr>
          <w:p w14:paraId="46C3BE36" w14:textId="6D0EC7A6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755" w:type="dxa"/>
          </w:tcPr>
          <w:p w14:paraId="5E64F6DB" w14:textId="687FB22B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756" w:type="dxa"/>
          </w:tcPr>
          <w:p w14:paraId="625F1635" w14:textId="5952AB73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55" w:type="dxa"/>
          </w:tcPr>
          <w:p w14:paraId="74E3E99C" w14:textId="75390081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755" w:type="dxa"/>
          </w:tcPr>
          <w:p w14:paraId="6685F743" w14:textId="5E3940DC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55" w:type="dxa"/>
          </w:tcPr>
          <w:p w14:paraId="3C6BAD44" w14:textId="4869C79B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55" w:type="dxa"/>
          </w:tcPr>
          <w:p w14:paraId="09E2E113" w14:textId="3CD37559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55" w:type="dxa"/>
          </w:tcPr>
          <w:p w14:paraId="5FE1416F" w14:textId="1749BE49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5" w:type="dxa"/>
          </w:tcPr>
          <w:p w14:paraId="5F982D9E" w14:textId="0315C007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5" w:type="dxa"/>
          </w:tcPr>
          <w:p w14:paraId="4CB9BF96" w14:textId="74748749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dxa"/>
          </w:tcPr>
          <w:p w14:paraId="4F942612" w14:textId="3576E4F2" w:rsidR="005B13A3" w:rsidRPr="008F6E12" w:rsidRDefault="005B13A3" w:rsidP="005B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F6E1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</w:tr>
    </w:tbl>
    <w:p w14:paraId="63F516D6" w14:textId="77777777" w:rsidR="005B13A3" w:rsidRPr="005B13A3" w:rsidRDefault="005B13A3" w:rsidP="005B13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7BF575E5" w14:textId="71000E8A" w:rsidR="008F6E12" w:rsidRPr="008F6E12" w:rsidRDefault="008F6E12" w:rsidP="008F6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Согласно модели Кокса (с поправкой на исходные прогностические факторы), отношение рисков (HR) для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 по сравнению с CCR составило 0,80 (95% ДИ: 0,66–0,99; p = 0,0355).</w:t>
      </w:r>
    </w:p>
    <w:p w14:paraId="12B8CE33" w14:textId="6B79D79B" w:rsidR="008F6E12" w:rsidRPr="008F6E12" w:rsidRDefault="008F6E12" w:rsidP="008F6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Хотя исследование не продемонстрировало статистически значимого различия между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азацитидином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 и заранее выбранными схемами CCR, выживаемость пациентов, получавших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, была выше по сравнению с группами, получавшими только BSC, </w:t>
      </w:r>
      <w:proofErr w:type="spellStart"/>
      <w:r w:rsidRPr="008F6E12">
        <w:rPr>
          <w:rFonts w:ascii="Times New Roman" w:hAnsi="Times New Roman"/>
          <w:bCs/>
          <w:sz w:val="24"/>
          <w:szCs w:val="24"/>
          <w:lang w:eastAsia="ru-RU"/>
        </w:rPr>
        <w:t>низкодозный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F6E12">
        <w:rPr>
          <w:rFonts w:ascii="Times New Roman" w:hAnsi="Times New Roman"/>
          <w:bCs/>
          <w:sz w:val="24"/>
          <w:szCs w:val="24"/>
          <w:lang w:eastAsia="ru-RU"/>
        </w:rPr>
        <w:t>цитарабин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 + BSC, и сопоставима с группой интенсивной химиотерапии + BSC.</w:t>
      </w:r>
    </w:p>
    <w:p w14:paraId="56CB45AE" w14:textId="7ADA7912" w:rsidR="008F6E12" w:rsidRPr="008F6E12" w:rsidRDefault="008F6E12" w:rsidP="008F6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Во всех заранее определённых подгруппах (возраст &lt;75 и ≥75 лет, пол, статус ECOG 0–2, цитогенетический риск [промежуточный и высокий], географический регион, классификация AML по ВОЗ [включая AML с </w:t>
      </w:r>
      <w:proofErr w:type="spellStart"/>
      <w:r w:rsidRPr="008F6E12">
        <w:rPr>
          <w:rFonts w:ascii="Times New Roman" w:hAnsi="Times New Roman"/>
          <w:bCs/>
          <w:sz w:val="24"/>
          <w:szCs w:val="24"/>
          <w:lang w:eastAsia="ru-RU"/>
        </w:rPr>
        <w:t>миелодиспластическими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 изменениями], уровень лейкоцитов ≤5×10⁹/л и &gt;5×10⁹/л, содержание бластов в костном мозге [≤50% и &gt;50%], анамнез МДС) наблюдалась тенденция к повышению общей выживаемости (OS) в группе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>. В нескольких подгруппах разница достигала статистической значимости: у пациентов с неблагоприятным кариотипом, пациентов с AML на фоне МДС, у женщин, пациентов младше 75 лет и с нормальным уровнем лейкоцитов.</w:t>
      </w:r>
    </w:p>
    <w:p w14:paraId="4F3D052B" w14:textId="7C8DCF82" w:rsidR="008F6E12" w:rsidRPr="008F6E12" w:rsidRDefault="008F6E12" w:rsidP="008F6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Гематологические и цитогенетические ответы оценивались как исследователем, так и независимым комитетом (IRC) с сопоставимыми результатами. Общий ответ (полная ремиссия [CR] + полная ремиссия с неполным восстановлением </w:t>
      </w:r>
      <w:proofErr w:type="spellStart"/>
      <w:r w:rsidRPr="008F6E12">
        <w:rPr>
          <w:rFonts w:ascii="Times New Roman" w:hAnsi="Times New Roman"/>
          <w:bCs/>
          <w:sz w:val="24"/>
          <w:szCs w:val="24"/>
          <w:lang w:eastAsia="ru-RU"/>
        </w:rPr>
        <w:t>гематопоэза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 [</w:t>
      </w:r>
      <w:proofErr w:type="spellStart"/>
      <w:r w:rsidRPr="008F6E12">
        <w:rPr>
          <w:rFonts w:ascii="Times New Roman" w:hAnsi="Times New Roman"/>
          <w:bCs/>
          <w:sz w:val="24"/>
          <w:szCs w:val="24"/>
          <w:lang w:eastAsia="ru-RU"/>
        </w:rPr>
        <w:t>CRi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]) по данным IRC составил 27,8% в группе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 и 25,1% в группе CCR (p = 0,5384). У пациентов, достигших CR или </w:t>
      </w:r>
      <w:proofErr w:type="spellStart"/>
      <w:r w:rsidRPr="008F6E12">
        <w:rPr>
          <w:rFonts w:ascii="Times New Roman" w:hAnsi="Times New Roman"/>
          <w:bCs/>
          <w:sz w:val="24"/>
          <w:szCs w:val="24"/>
          <w:lang w:eastAsia="ru-RU"/>
        </w:rPr>
        <w:t>CRi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, медиана длительности ремиссии составила 10,4 месяца (95% ДИ: 7,2–15,2) в группе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 и 12,3 месяца (95% ДИ: 9,0–17,0) в группе CCR. При этом клиническая польза от терапии </w:t>
      </w:r>
      <w:proofErr w:type="spellStart"/>
      <w:r w:rsidR="0075799B">
        <w:rPr>
          <w:rFonts w:ascii="Times New Roman" w:hAnsi="Times New Roman"/>
          <w:bCs/>
          <w:sz w:val="24"/>
          <w:szCs w:val="24"/>
          <w:lang w:eastAsia="ru-RU"/>
        </w:rPr>
        <w:t>азацитидином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 также отмечалась у пациентов, не достигших полного ответа, по сравнению с CCR.</w:t>
      </w:r>
    </w:p>
    <w:p w14:paraId="72FC1E1B" w14:textId="1F4FEAC6" w:rsidR="008F6E12" w:rsidRPr="008F6E12" w:rsidRDefault="008F6E12" w:rsidP="008F6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Лечение </w:t>
      </w:r>
      <w:proofErr w:type="spellStart"/>
      <w:r w:rsidR="00897527">
        <w:rPr>
          <w:rFonts w:ascii="Times New Roman" w:hAnsi="Times New Roman"/>
          <w:bCs/>
          <w:sz w:val="24"/>
          <w:szCs w:val="24"/>
          <w:lang w:eastAsia="ru-RU"/>
        </w:rPr>
        <w:t>азацитидином</w:t>
      </w:r>
      <w:proofErr w:type="spellEnd"/>
      <w:r w:rsidRPr="008F6E12">
        <w:rPr>
          <w:rFonts w:ascii="Times New Roman" w:hAnsi="Times New Roman"/>
          <w:bCs/>
          <w:sz w:val="24"/>
          <w:szCs w:val="24"/>
          <w:lang w:eastAsia="ru-RU"/>
        </w:rPr>
        <w:t xml:space="preserve"> улучшало показатели периферической крови и снижало потребность в трансфузиях эритроцитов и тромбоцитов. Пациент считался зависимым от трансфузий, если ему требовалась как минимум одна трансфузия эритроцитов или тромбоцитов в течение 56 дней до рандомизации или во время наблюдения. Пациент </w:t>
      </w:r>
      <w:r w:rsidRPr="008F6E12">
        <w:rPr>
          <w:rFonts w:ascii="Times New Roman" w:hAnsi="Times New Roman"/>
          <w:bCs/>
          <w:sz w:val="24"/>
          <w:szCs w:val="24"/>
          <w:lang w:eastAsia="ru-RU"/>
        </w:rPr>
        <w:lastRenderedPageBreak/>
        <w:t>считался независимым от трансфузий, если в течение любого последовательного 56-дневного периода не потребовалась ни одна трансфузия эритроцитов или тромбоцитов соответственно.</w:t>
      </w:r>
    </w:p>
    <w:p w14:paraId="7F6F7B12" w14:textId="2E5B65E3" w:rsidR="00E35F95" w:rsidRPr="00E35F95" w:rsidRDefault="00E35F95" w:rsidP="00E35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35F95">
        <w:rPr>
          <w:rFonts w:ascii="Times New Roman" w:hAnsi="Times New Roman"/>
          <w:bCs/>
          <w:sz w:val="24"/>
          <w:szCs w:val="24"/>
          <w:lang w:eastAsia="ru-RU"/>
        </w:rPr>
        <w:t xml:space="preserve">Среди пациентов группы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E35F95">
        <w:rPr>
          <w:rFonts w:ascii="Times New Roman" w:hAnsi="Times New Roman"/>
          <w:bCs/>
          <w:sz w:val="24"/>
          <w:szCs w:val="24"/>
          <w:lang w:eastAsia="ru-RU"/>
        </w:rPr>
        <w:t>, зависимых от трансфузий эритроцитов на исходном уровне, 38,5% (95% ДИ: 31,1–46,2) стали независимыми от трансфузий в ходе лечения, по сравнению с 27,6% (95% ДИ: 20,9–35,1) в объединённой группе CCR.</w:t>
      </w:r>
    </w:p>
    <w:p w14:paraId="6754741C" w14:textId="401CCE62" w:rsidR="00E35F95" w:rsidRPr="00E35F95" w:rsidRDefault="00E35F95" w:rsidP="00E35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35F95">
        <w:rPr>
          <w:rFonts w:ascii="Times New Roman" w:hAnsi="Times New Roman"/>
          <w:bCs/>
          <w:sz w:val="24"/>
          <w:szCs w:val="24"/>
          <w:lang w:eastAsia="ru-RU"/>
        </w:rPr>
        <w:t xml:space="preserve">У пациентов, которые были зависимы от </w:t>
      </w:r>
      <w:proofErr w:type="spellStart"/>
      <w:r w:rsidRPr="00E35F95">
        <w:rPr>
          <w:rFonts w:ascii="Times New Roman" w:hAnsi="Times New Roman"/>
          <w:bCs/>
          <w:sz w:val="24"/>
          <w:szCs w:val="24"/>
          <w:lang w:eastAsia="ru-RU"/>
        </w:rPr>
        <w:t>эритроцитарных</w:t>
      </w:r>
      <w:proofErr w:type="spellEnd"/>
      <w:r w:rsidRPr="00E35F95">
        <w:rPr>
          <w:rFonts w:ascii="Times New Roman" w:hAnsi="Times New Roman"/>
          <w:bCs/>
          <w:sz w:val="24"/>
          <w:szCs w:val="24"/>
          <w:lang w:eastAsia="ru-RU"/>
        </w:rPr>
        <w:t xml:space="preserve"> трансфузий на исходном уровне и достигли независимости на фоне терапии, медианная продолжительность этой независимости составила 13,9 месяца в группе </w:t>
      </w:r>
      <w:proofErr w:type="spellStart"/>
      <w:r w:rsidR="008377D8"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E35F95">
        <w:rPr>
          <w:rFonts w:ascii="Times New Roman" w:hAnsi="Times New Roman"/>
          <w:bCs/>
          <w:sz w:val="24"/>
          <w:szCs w:val="24"/>
          <w:lang w:eastAsia="ru-RU"/>
        </w:rPr>
        <w:t>. В группе CCR медиана не была достигнута.</w:t>
      </w:r>
    </w:p>
    <w:p w14:paraId="7E44D4B8" w14:textId="58B7D1BF" w:rsidR="00E35F95" w:rsidRPr="00E35F95" w:rsidRDefault="00E35F95" w:rsidP="00E35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35F95">
        <w:rPr>
          <w:rFonts w:ascii="Times New Roman" w:hAnsi="Times New Roman"/>
          <w:bCs/>
          <w:sz w:val="24"/>
          <w:szCs w:val="24"/>
          <w:lang w:eastAsia="ru-RU"/>
        </w:rPr>
        <w:t xml:space="preserve">Среди пациентов группы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E35F95">
        <w:rPr>
          <w:rFonts w:ascii="Times New Roman" w:hAnsi="Times New Roman"/>
          <w:bCs/>
          <w:sz w:val="24"/>
          <w:szCs w:val="24"/>
          <w:lang w:eastAsia="ru-RU"/>
        </w:rPr>
        <w:t>, зависимых от трансфузий тромбоцитов на исходном уровне, 40,6% (95% ДИ: 30,9–50,8) больше не нуждались в трансфузиях тромбоцитов в течение лечения, по сравнению с 29,3% (95% ДИ: 19,7–40,4) в объединённой группе CCR.</w:t>
      </w:r>
      <w:r w:rsidR="008377D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35F95">
        <w:rPr>
          <w:rFonts w:ascii="Times New Roman" w:hAnsi="Times New Roman"/>
          <w:bCs/>
          <w:sz w:val="24"/>
          <w:szCs w:val="24"/>
          <w:lang w:eastAsia="ru-RU"/>
        </w:rPr>
        <w:t xml:space="preserve">У пациентов, нуждавшихся в трансфузиях тромбоцитов до начала терапии и достигших </w:t>
      </w:r>
      <w:proofErr w:type="spellStart"/>
      <w:r w:rsidRPr="00E35F95">
        <w:rPr>
          <w:rFonts w:ascii="Times New Roman" w:hAnsi="Times New Roman"/>
          <w:bCs/>
          <w:sz w:val="24"/>
          <w:szCs w:val="24"/>
          <w:lang w:eastAsia="ru-RU"/>
        </w:rPr>
        <w:t>трансфузионной</w:t>
      </w:r>
      <w:proofErr w:type="spellEnd"/>
      <w:r w:rsidRPr="00E35F95">
        <w:rPr>
          <w:rFonts w:ascii="Times New Roman" w:hAnsi="Times New Roman"/>
          <w:bCs/>
          <w:sz w:val="24"/>
          <w:szCs w:val="24"/>
          <w:lang w:eastAsia="ru-RU"/>
        </w:rPr>
        <w:t xml:space="preserve"> независимости в ходе лечения, медианная продолжительность этого периода составила 10,8 месяца в группе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E35F95">
        <w:rPr>
          <w:rFonts w:ascii="Times New Roman" w:hAnsi="Times New Roman"/>
          <w:bCs/>
          <w:sz w:val="24"/>
          <w:szCs w:val="24"/>
          <w:lang w:eastAsia="ru-RU"/>
        </w:rPr>
        <w:t xml:space="preserve"> и 19,2 месяца в группе CCR.</w:t>
      </w:r>
    </w:p>
    <w:p w14:paraId="31A1885C" w14:textId="0899AB80" w:rsidR="00E35F95" w:rsidRPr="00E35F95" w:rsidRDefault="00E35F95" w:rsidP="00E35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35F95">
        <w:rPr>
          <w:rFonts w:ascii="Times New Roman" w:hAnsi="Times New Roman"/>
          <w:bCs/>
          <w:sz w:val="24"/>
          <w:szCs w:val="24"/>
          <w:lang w:eastAsia="ru-RU"/>
        </w:rPr>
        <w:t>Качество жизни, связанное со здоровьем (</w:t>
      </w:r>
      <w:proofErr w:type="spellStart"/>
      <w:r w:rsidRPr="00E35F95">
        <w:rPr>
          <w:rFonts w:ascii="Times New Roman" w:hAnsi="Times New Roman"/>
          <w:bCs/>
          <w:sz w:val="24"/>
          <w:szCs w:val="24"/>
          <w:lang w:eastAsia="ru-RU"/>
        </w:rPr>
        <w:t>HRQoL</w:t>
      </w:r>
      <w:proofErr w:type="spellEnd"/>
      <w:r w:rsidRPr="00E35F95">
        <w:rPr>
          <w:rFonts w:ascii="Times New Roman" w:hAnsi="Times New Roman"/>
          <w:bCs/>
          <w:sz w:val="24"/>
          <w:szCs w:val="24"/>
          <w:lang w:eastAsia="ru-RU"/>
        </w:rPr>
        <w:t xml:space="preserve">), оценивалось с использованием опросника Европейской организации по исследованию и лечению рака (EORTC QLQ-C30). Данные по </w:t>
      </w:r>
      <w:proofErr w:type="spellStart"/>
      <w:r w:rsidRPr="00E35F95">
        <w:rPr>
          <w:rFonts w:ascii="Times New Roman" w:hAnsi="Times New Roman"/>
          <w:bCs/>
          <w:sz w:val="24"/>
          <w:szCs w:val="24"/>
          <w:lang w:eastAsia="ru-RU"/>
        </w:rPr>
        <w:t>HRQoL</w:t>
      </w:r>
      <w:proofErr w:type="spellEnd"/>
      <w:r w:rsidRPr="00E35F95">
        <w:rPr>
          <w:rFonts w:ascii="Times New Roman" w:hAnsi="Times New Roman"/>
          <w:bCs/>
          <w:sz w:val="24"/>
          <w:szCs w:val="24"/>
          <w:lang w:eastAsia="ru-RU"/>
        </w:rPr>
        <w:t xml:space="preserve"> были доступны для части пациентов. Несмотря на ограничения анализа, результаты показывают, что на фоне терапии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азацитидином</w:t>
      </w:r>
      <w:proofErr w:type="spellEnd"/>
      <w:r w:rsidRPr="00E35F95">
        <w:rPr>
          <w:rFonts w:ascii="Times New Roman" w:hAnsi="Times New Roman"/>
          <w:bCs/>
          <w:sz w:val="24"/>
          <w:szCs w:val="24"/>
          <w:lang w:eastAsia="ru-RU"/>
        </w:rPr>
        <w:t xml:space="preserve"> не отмечалось клинически значимого ухудшения качества жизни.</w:t>
      </w:r>
    </w:p>
    <w:p w14:paraId="63D86931" w14:textId="7CD444A3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Дети</w:t>
      </w:r>
    </w:p>
    <w:p w14:paraId="743BCBB6" w14:textId="5D80FCA1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Исследование AZA-JMML-001 — это международное многоцентровое открытое исследование II фазы, в котором изучались фармакокинетика, </w:t>
      </w:r>
      <w:proofErr w:type="spellStart"/>
      <w:r w:rsidRPr="008377D8">
        <w:rPr>
          <w:rFonts w:ascii="Times New Roman" w:hAnsi="Times New Roman"/>
          <w:bCs/>
          <w:sz w:val="24"/>
          <w:szCs w:val="24"/>
          <w:lang w:eastAsia="ru-RU"/>
        </w:rPr>
        <w:t>фармакодинамика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, безопасность и активность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перед трансплантацией гемопоэтических стволовых клеток (ТГСК) у </w:t>
      </w:r>
      <w:r>
        <w:rPr>
          <w:rFonts w:ascii="Times New Roman" w:hAnsi="Times New Roman"/>
          <w:bCs/>
          <w:sz w:val="24"/>
          <w:szCs w:val="24"/>
          <w:lang w:eastAsia="ru-RU"/>
        </w:rPr>
        <w:t>детей</w:t>
      </w: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с недавно диагностированным или прогрессирующим </w:t>
      </w:r>
      <w:proofErr w:type="spellStart"/>
      <w:r w:rsidRPr="008377D8">
        <w:rPr>
          <w:rFonts w:ascii="Times New Roman" w:hAnsi="Times New Roman"/>
          <w:bCs/>
          <w:sz w:val="24"/>
          <w:szCs w:val="24"/>
          <w:lang w:eastAsia="ru-RU"/>
        </w:rPr>
        <w:t>миелодиспластическим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синдромом (МДС) или ювенильной </w:t>
      </w:r>
      <w:proofErr w:type="spellStart"/>
      <w:r w:rsidRPr="008377D8">
        <w:rPr>
          <w:rFonts w:ascii="Times New Roman" w:hAnsi="Times New Roman"/>
          <w:bCs/>
          <w:sz w:val="24"/>
          <w:szCs w:val="24"/>
          <w:lang w:eastAsia="ru-RU"/>
        </w:rPr>
        <w:t>миеломоноцитарной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лейкемией (JMML). Основной целью было оценить частоту ответа на 28-й день 3-го цикла лечения.</w:t>
      </w:r>
    </w:p>
    <w:p w14:paraId="4CB4202B" w14:textId="16984299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В исследование были включены пациенты с МДС (n = 10) и JMML (n = 18) в возрасте от 3 месяцев до 15 лет; 71% — мальчики. Все пациенты получали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внутривенно в дозе 75 мг/м² ежедневно с 1 по 7 день 28-дневного цикла. Минимум 3 цикла, максимум — 6.</w:t>
      </w:r>
    </w:p>
    <w:p w14:paraId="633600B3" w14:textId="1F20DD3B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>Набор в группу МДС был прекращён после включения 10 пациентов из-за отсутствия эффективности: ни у одного не было подтверждённого ответа на лечение.</w:t>
      </w:r>
    </w:p>
    <w:p w14:paraId="25033315" w14:textId="4AD3DDB9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В JMML-группе участвовали 18 пациентов, у которых были выявлены соматические мутации (13 — в PTPN11, 3 — в NRAS, 1 — в KRAS), а также один случай с клиническим диагнозом </w:t>
      </w:r>
      <w:proofErr w:type="spellStart"/>
      <w:r w:rsidRPr="008377D8">
        <w:rPr>
          <w:rFonts w:ascii="Times New Roman" w:hAnsi="Times New Roman"/>
          <w:bCs/>
          <w:sz w:val="24"/>
          <w:szCs w:val="24"/>
          <w:lang w:eastAsia="ru-RU"/>
        </w:rPr>
        <w:t>нейрофиброматоза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1 типа (NF-1). Шестнадцать пациентов завершили ≥3 циклов лечения, 5 из них — 6 циклов.</w:t>
      </w:r>
    </w:p>
    <w:p w14:paraId="45D63F17" w14:textId="3CEDF260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К 28-му дню 3-го цикла у 11 из 18 пациентов (61%) наблюдался клинический ответ. У 9 из них (50%) был подтверждённый клинический ответ (3 — полная ремиссия с восстановлением </w:t>
      </w:r>
      <w:proofErr w:type="spellStart"/>
      <w:r w:rsidRPr="008377D8">
        <w:rPr>
          <w:rFonts w:ascii="Times New Roman" w:hAnsi="Times New Roman"/>
          <w:bCs/>
          <w:sz w:val="24"/>
          <w:szCs w:val="24"/>
          <w:lang w:eastAsia="ru-RU"/>
        </w:rPr>
        <w:t>гематопоэза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[CR], 6 — частичная ремиссия [PR]).</w:t>
      </w:r>
    </w:p>
    <w:p w14:paraId="25712D04" w14:textId="5E4CC51F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Среди пациентов с JMML, получавших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>: у 7 (43,8%) наблюдалось стойкое восстановление уровня тромбоцитов (≥100 × 10⁹/л),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у 7 (43,8%) не потребовалась </w:t>
      </w:r>
      <w:proofErr w:type="spellStart"/>
      <w:r w:rsidRPr="008377D8">
        <w:rPr>
          <w:rFonts w:ascii="Times New Roman" w:hAnsi="Times New Roman"/>
          <w:bCs/>
          <w:sz w:val="24"/>
          <w:szCs w:val="24"/>
          <w:lang w:eastAsia="ru-RU"/>
        </w:rPr>
        <w:t>трансфузионная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поддержка на момент проведения ТГСК.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377D8">
        <w:rPr>
          <w:rFonts w:ascii="Times New Roman" w:hAnsi="Times New Roman"/>
          <w:bCs/>
          <w:sz w:val="24"/>
          <w:szCs w:val="24"/>
          <w:lang w:eastAsia="ru-RU"/>
        </w:rPr>
        <w:t>В итоге 17 из 18 пациентов прошли трансплантацию.</w:t>
      </w:r>
    </w:p>
    <w:p w14:paraId="01D8BF2F" w14:textId="23E45E30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Из-за ограничений дизайна (небольшое число участников и наличие потенциальных факторов смещения), нельзя сделать однозначные выводы о влиянии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на исходы JMML перед ТГСК.</w:t>
      </w:r>
    </w:p>
    <w:p w14:paraId="732B218C" w14:textId="77777777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3AA14A8" w14:textId="62E9C568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lastRenderedPageBreak/>
        <w:t>Исследование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AZA-AML-004 — международное, многоцентровое, открытое исследование II фазы, направленное на оценку безопасности, </w:t>
      </w:r>
      <w:proofErr w:type="spellStart"/>
      <w:r w:rsidRPr="008377D8">
        <w:rPr>
          <w:rFonts w:ascii="Times New Roman" w:hAnsi="Times New Roman"/>
          <w:bCs/>
          <w:sz w:val="24"/>
          <w:szCs w:val="24"/>
          <w:lang w:eastAsia="ru-RU"/>
        </w:rPr>
        <w:t>фармакодинамики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и эффективности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у детей и подростков с молекулярным рецидивом ОМЛ после первой ремиссии (CR1), не получавших повторную противоопухолевую терапию.</w:t>
      </w:r>
    </w:p>
    <w:p w14:paraId="5DE1D422" w14:textId="45FBBFC1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Семь пациентов (медианный возраст — 6,7 лет; диапазон: 2–12 лет; 71,4% — мальчики) получали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внутривенно в дозе 100 мг/м² ежедневно с 1 по 7 день 28-дневного цикла. Минимум — 3 цикла.</w:t>
      </w:r>
    </w:p>
    <w:p w14:paraId="3B940EFE" w14:textId="77777777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>У пяти пациентов к 84-му дню терапии было зафиксировано наличие минимального остаточного заболевания (MRD):</w:t>
      </w:r>
    </w:p>
    <w:p w14:paraId="3A0FFCAB" w14:textId="77777777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>– у 3 — молекулярная стабилизация,</w:t>
      </w:r>
    </w:p>
    <w:p w14:paraId="125CF029" w14:textId="77777777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>– у 1 — молекулярная ремиссия,</w:t>
      </w:r>
    </w:p>
    <w:p w14:paraId="54C47AD7" w14:textId="70C87C74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>– у 1 — клинический рецидив.</w:t>
      </w:r>
    </w:p>
    <w:p w14:paraId="4C975628" w14:textId="4FC2B9F1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Шестеро из 7 пациентов (90%) [95% ДИ: 0,4–1,0] были переведены на трансплантацию после терапии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азацитидином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43F81052" w14:textId="6D667FFE" w:rsidR="008377D8" w:rsidRPr="008377D8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Из-за небольшого размера выборки эффективность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азацитидина</w:t>
      </w:r>
      <w:proofErr w:type="spellEnd"/>
      <w:r w:rsidRPr="008377D8">
        <w:rPr>
          <w:rFonts w:ascii="Times New Roman" w:hAnsi="Times New Roman"/>
          <w:bCs/>
          <w:sz w:val="24"/>
          <w:szCs w:val="24"/>
          <w:lang w:eastAsia="ru-RU"/>
        </w:rPr>
        <w:t xml:space="preserve"> у детей с ОМЛ оценить невозможно.</w:t>
      </w:r>
    </w:p>
    <w:p w14:paraId="4264805F" w14:textId="1E9703F7" w:rsidR="00B3069E" w:rsidRPr="00E35F95" w:rsidRDefault="008377D8" w:rsidP="0083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77D8">
        <w:rPr>
          <w:rFonts w:ascii="Times New Roman" w:hAnsi="Times New Roman"/>
          <w:bCs/>
          <w:sz w:val="24"/>
          <w:szCs w:val="24"/>
          <w:lang w:eastAsia="ru-RU"/>
        </w:rPr>
        <w:t>См. раздел 4.8 для получения информации по безопасности.</w:t>
      </w:r>
    </w:p>
    <w:p w14:paraId="40C6CAF2" w14:textId="77777777" w:rsidR="005B13A3" w:rsidRDefault="005B13A3" w:rsidP="002053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4E88879" w14:textId="37793A85" w:rsidR="00C153F2" w:rsidRPr="00F63FFF" w:rsidRDefault="00C153F2" w:rsidP="0020532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63FFF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27C8575C" w14:textId="77777777" w:rsidR="00DD7673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t>Абсорбция</w:t>
      </w:r>
    </w:p>
    <w:p w14:paraId="4BCC3040" w14:textId="77777777" w:rsidR="00467E5B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noProof/>
          <w:sz w:val="24"/>
          <w:szCs w:val="24"/>
          <w:lang w:eastAsia="ru-RU"/>
        </w:rPr>
        <w:t>После однократного подкожного введения в дозе 75 мг/м</w:t>
      </w:r>
      <w:r w:rsidRPr="00F63FFF">
        <w:rPr>
          <w:rFonts w:ascii="Times New Roman" w:eastAsia="Times New Roman" w:hAnsi="Times New Roman"/>
          <w:noProof/>
          <w:sz w:val="24"/>
          <w:szCs w:val="24"/>
          <w:vertAlign w:val="superscript"/>
          <w:lang w:eastAsia="ru-RU"/>
        </w:rPr>
        <w:t>2</w:t>
      </w:r>
      <w:r w:rsidRPr="00F63FF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азацитидин быстро абсорбируется, достигая максимальной концентрации в плазме (</w:t>
      </w:r>
      <w:r w:rsidRPr="00F63FFF"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>C</w:t>
      </w:r>
      <w:r w:rsidRPr="00F63FFF">
        <w:rPr>
          <w:rFonts w:ascii="Times New Roman" w:eastAsia="Times New Roman" w:hAnsi="Times New Roman"/>
          <w:noProof/>
          <w:sz w:val="24"/>
          <w:szCs w:val="24"/>
          <w:vertAlign w:val="subscript"/>
          <w:lang w:val="en-US" w:eastAsia="ru-RU"/>
        </w:rPr>
        <w:t>max</w:t>
      </w:r>
      <w:r w:rsidRPr="00F63FFF">
        <w:rPr>
          <w:rFonts w:ascii="Times New Roman" w:eastAsia="Times New Roman" w:hAnsi="Times New Roman"/>
          <w:noProof/>
          <w:sz w:val="24"/>
          <w:szCs w:val="24"/>
          <w:lang w:eastAsia="ru-RU"/>
        </w:rPr>
        <w:t>) 750±403 нг/мл через 0,5 часа после введения (первый этап отбора проб). Абсолютная биодоступность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при подкожном введении по отношению к данному показателю при однократном внутривенном введении </w:t>
      </w:r>
      <w:r w:rsidRPr="00F63FFF">
        <w:rPr>
          <w:rFonts w:ascii="Times New Roman" w:eastAsia="Times New Roman" w:hAnsi="Times New Roman"/>
          <w:noProof/>
          <w:sz w:val="24"/>
          <w:szCs w:val="24"/>
          <w:lang w:eastAsia="ru-RU"/>
        </w:rPr>
        <w:t>в дозе 75 мг/м</w:t>
      </w:r>
      <w:r w:rsidRPr="00F63FFF">
        <w:rPr>
          <w:rFonts w:ascii="Times New Roman" w:eastAsia="Times New Roman" w:hAnsi="Times New Roman"/>
          <w:noProof/>
          <w:sz w:val="24"/>
          <w:szCs w:val="24"/>
          <w:vertAlign w:val="superscript"/>
          <w:lang w:eastAsia="ru-RU"/>
        </w:rPr>
        <w:t xml:space="preserve">2 </w:t>
      </w:r>
      <w:r w:rsidRPr="00F63FFF">
        <w:rPr>
          <w:rFonts w:ascii="Times New Roman" w:eastAsia="Times New Roman" w:hAnsi="Times New Roman"/>
          <w:sz w:val="24"/>
          <w:szCs w:val="24"/>
        </w:rPr>
        <w:t>на основании результатов определения площади под кривой «концентрация-время» (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AUC</w:t>
      </w:r>
      <w:r w:rsidRPr="00F63FFF">
        <w:rPr>
          <w:rFonts w:ascii="Times New Roman" w:eastAsia="Times New Roman" w:hAnsi="Times New Roman"/>
          <w:sz w:val="24"/>
          <w:szCs w:val="24"/>
        </w:rPr>
        <w:t>)</w:t>
      </w:r>
      <w:r w:rsidRPr="00F63FFF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467E5B" w:rsidRPr="00F63FFF">
        <w:rPr>
          <w:rFonts w:ascii="Times New Roman" w:eastAsia="Times New Roman" w:hAnsi="Times New Roman"/>
          <w:sz w:val="24"/>
          <w:szCs w:val="24"/>
        </w:rPr>
        <w:t>составляла 89%.</w:t>
      </w:r>
    </w:p>
    <w:p w14:paraId="7363DA31" w14:textId="77777777" w:rsidR="00467E5B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noProof/>
          <w:sz w:val="24"/>
          <w:szCs w:val="24"/>
        </w:rPr>
        <w:t>При подкожном введении азацитидина в дозах от 25 до 100 мг/м</w:t>
      </w:r>
      <w:r w:rsidRPr="00F63FFF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F63FFF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AUC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  <w:lang w:val="en-GB"/>
        </w:rPr>
        <w:t>C</w:t>
      </w:r>
      <w:r w:rsidRPr="00F63FFF">
        <w:rPr>
          <w:rFonts w:ascii="Times New Roman" w:eastAsia="Times New Roman" w:hAnsi="Times New Roman"/>
          <w:sz w:val="24"/>
          <w:szCs w:val="24"/>
          <w:vertAlign w:val="subscript"/>
          <w:lang w:val="en-GB"/>
        </w:rPr>
        <w:t>max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изменяли</w:t>
      </w:r>
      <w:r w:rsidR="00467E5B" w:rsidRPr="00F63FFF">
        <w:rPr>
          <w:rFonts w:ascii="Times New Roman" w:eastAsia="Times New Roman" w:hAnsi="Times New Roman"/>
          <w:sz w:val="24"/>
          <w:szCs w:val="24"/>
        </w:rPr>
        <w:t>сь практически пропорционально.</w:t>
      </w:r>
    </w:p>
    <w:p w14:paraId="58B68CED" w14:textId="77777777" w:rsidR="00467E5B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3FFF">
        <w:rPr>
          <w:rFonts w:ascii="Times New Roman" w:eastAsia="Times New Roman" w:hAnsi="Times New Roman"/>
          <w:i/>
          <w:noProof/>
          <w:sz w:val="24"/>
          <w:szCs w:val="24"/>
        </w:rPr>
        <w:t xml:space="preserve">Распределение </w:t>
      </w:r>
    </w:p>
    <w:p w14:paraId="6E493524" w14:textId="77777777" w:rsidR="00467E5B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3FFF">
        <w:rPr>
          <w:rFonts w:ascii="Times New Roman" w:eastAsia="Times New Roman" w:hAnsi="Times New Roman"/>
          <w:noProof/>
          <w:sz w:val="24"/>
          <w:szCs w:val="24"/>
        </w:rPr>
        <w:t>После внутривенного введения средний объем распределения составляет 76±26</w:t>
      </w:r>
      <w:r w:rsidRPr="00F63FFF">
        <w:rPr>
          <w:rFonts w:ascii="Times New Roman" w:eastAsia="Times New Roman" w:hAnsi="Times New Roman"/>
          <w:noProof/>
          <w:sz w:val="24"/>
          <w:szCs w:val="24"/>
          <w:lang w:val="en-GB"/>
        </w:rPr>
        <w:t> </w:t>
      </w:r>
      <w:r w:rsidRPr="00F63FFF">
        <w:rPr>
          <w:rFonts w:ascii="Times New Roman" w:eastAsia="Times New Roman" w:hAnsi="Times New Roman"/>
          <w:noProof/>
          <w:sz w:val="24"/>
          <w:szCs w:val="24"/>
        </w:rPr>
        <w:t>л, а системный клиренс 147±47</w:t>
      </w:r>
      <w:r w:rsidRPr="00F63FFF">
        <w:rPr>
          <w:rFonts w:ascii="Times New Roman" w:eastAsia="Times New Roman" w:hAnsi="Times New Roman"/>
          <w:noProof/>
          <w:sz w:val="24"/>
          <w:szCs w:val="24"/>
          <w:lang w:val="en-GB"/>
        </w:rPr>
        <w:t> </w:t>
      </w:r>
      <w:r w:rsidRPr="00F63FFF">
        <w:rPr>
          <w:rFonts w:ascii="Times New Roman" w:eastAsia="Times New Roman" w:hAnsi="Times New Roman"/>
          <w:noProof/>
          <w:sz w:val="24"/>
          <w:szCs w:val="24"/>
        </w:rPr>
        <w:t xml:space="preserve">л/час. </w:t>
      </w:r>
    </w:p>
    <w:p w14:paraId="4DE5AB33" w14:textId="77777777" w:rsidR="00F177F5" w:rsidRPr="00F63FFF" w:rsidRDefault="00F177F5" w:rsidP="00F177F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63FFF">
        <w:rPr>
          <w:rFonts w:ascii="Times New Roman" w:hAnsi="Times New Roman"/>
          <w:i/>
          <w:iCs/>
          <w:sz w:val="24"/>
          <w:szCs w:val="24"/>
        </w:rPr>
        <w:t>Метаболизм</w:t>
      </w:r>
    </w:p>
    <w:p w14:paraId="7EE5B4AA" w14:textId="77777777" w:rsidR="00F177F5" w:rsidRPr="004B7DB1" w:rsidRDefault="00F177F5" w:rsidP="00F177F5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B7DB1">
        <w:rPr>
          <w:rFonts w:ascii="Times New Roman" w:hAnsi="Times New Roman"/>
          <w:sz w:val="24"/>
          <w:szCs w:val="24"/>
        </w:rPr>
        <w:t xml:space="preserve">Результаты исследования </w:t>
      </w:r>
      <w:proofErr w:type="spellStart"/>
      <w:r w:rsidRPr="004B7DB1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4B7D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7DB1">
        <w:rPr>
          <w:rFonts w:ascii="Times New Roman" w:hAnsi="Times New Roman"/>
          <w:i/>
          <w:sz w:val="24"/>
          <w:szCs w:val="24"/>
        </w:rPr>
        <w:t>vitro</w:t>
      </w:r>
      <w:proofErr w:type="spellEnd"/>
      <w:r w:rsidRPr="004B7DB1">
        <w:rPr>
          <w:rFonts w:ascii="Times New Roman" w:hAnsi="Times New Roman"/>
          <w:sz w:val="24"/>
          <w:szCs w:val="24"/>
        </w:rPr>
        <w:t xml:space="preserve"> показали, что в метаболизме </w:t>
      </w:r>
      <w:proofErr w:type="spellStart"/>
      <w:r w:rsidRPr="004B7DB1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4B7DB1">
        <w:rPr>
          <w:rFonts w:ascii="Times New Roman" w:hAnsi="Times New Roman"/>
          <w:sz w:val="24"/>
          <w:szCs w:val="24"/>
        </w:rPr>
        <w:t xml:space="preserve"> не участвуют изоферменты системы цитохрома P450, UDP-</w:t>
      </w:r>
      <w:proofErr w:type="spellStart"/>
      <w:r w:rsidRPr="004B7DB1">
        <w:rPr>
          <w:rFonts w:ascii="Times New Roman" w:hAnsi="Times New Roman"/>
          <w:sz w:val="24"/>
          <w:szCs w:val="24"/>
        </w:rPr>
        <w:t>глюкуронилтрансфераза</w:t>
      </w:r>
      <w:proofErr w:type="spellEnd"/>
      <w:r w:rsidRPr="004B7D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7DB1">
        <w:rPr>
          <w:rFonts w:ascii="Times New Roman" w:hAnsi="Times New Roman"/>
          <w:sz w:val="24"/>
          <w:szCs w:val="24"/>
        </w:rPr>
        <w:t>сульфотрансфераза</w:t>
      </w:r>
      <w:proofErr w:type="spellEnd"/>
      <w:r w:rsidRPr="004B7DB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B7DB1">
        <w:rPr>
          <w:rFonts w:ascii="Times New Roman" w:hAnsi="Times New Roman"/>
          <w:sz w:val="24"/>
          <w:szCs w:val="24"/>
        </w:rPr>
        <w:t>глютатионтрансфераза</w:t>
      </w:r>
      <w:proofErr w:type="spellEnd"/>
      <w:r w:rsidRPr="004B7DB1">
        <w:rPr>
          <w:rFonts w:ascii="Times New Roman" w:hAnsi="Times New Roman"/>
          <w:sz w:val="24"/>
          <w:szCs w:val="24"/>
        </w:rPr>
        <w:t>.</w:t>
      </w:r>
    </w:p>
    <w:p w14:paraId="4D50E899" w14:textId="77777777" w:rsidR="00F177F5" w:rsidRPr="00F63FFF" w:rsidRDefault="00F177F5" w:rsidP="00F17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FFF"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FFF">
        <w:rPr>
          <w:rFonts w:ascii="Times New Roman" w:hAnsi="Times New Roman"/>
          <w:sz w:val="24"/>
          <w:szCs w:val="24"/>
        </w:rPr>
        <w:t>метаболизируется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путем спонтанного гидролиза и </w:t>
      </w:r>
      <w:proofErr w:type="spellStart"/>
      <w:r w:rsidRPr="00F63FFF">
        <w:rPr>
          <w:rFonts w:ascii="Times New Roman" w:hAnsi="Times New Roman"/>
          <w:sz w:val="24"/>
          <w:szCs w:val="24"/>
        </w:rPr>
        <w:t>дезаминирования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, которое индуцируется </w:t>
      </w:r>
      <w:proofErr w:type="spellStart"/>
      <w:r w:rsidRPr="00F63FFF">
        <w:rPr>
          <w:rFonts w:ascii="Times New Roman" w:hAnsi="Times New Roman"/>
          <w:sz w:val="24"/>
          <w:szCs w:val="24"/>
        </w:rPr>
        <w:t>цитидиндезаминазой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. При проведении исследования на S9 фракциях печени метаболиты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формировались независимо от НАДФН, следовательно, метаболизм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не опосредуется изоферментами цитохрома P450. Результаты исследования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FFF">
        <w:rPr>
          <w:rFonts w:ascii="Times New Roman" w:hAnsi="Times New Roman"/>
          <w:i/>
          <w:sz w:val="24"/>
          <w:szCs w:val="24"/>
        </w:rPr>
        <w:t>i</w:t>
      </w:r>
      <w:r w:rsidRPr="00F63FFF">
        <w:rPr>
          <w:rFonts w:ascii="Times New Roman" w:hAnsi="Times New Roman"/>
          <w:i/>
          <w:iCs/>
          <w:sz w:val="24"/>
          <w:szCs w:val="24"/>
        </w:rPr>
        <w:t>n</w:t>
      </w:r>
      <w:proofErr w:type="spellEnd"/>
      <w:r w:rsidRPr="00F63FF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63FFF">
        <w:rPr>
          <w:rFonts w:ascii="Times New Roman" w:hAnsi="Times New Roman"/>
          <w:i/>
          <w:iCs/>
          <w:sz w:val="24"/>
          <w:szCs w:val="24"/>
        </w:rPr>
        <w:t>vitro</w:t>
      </w:r>
      <w:proofErr w:type="spellEnd"/>
      <w:r w:rsidRPr="00F63FFF">
        <w:rPr>
          <w:rFonts w:ascii="Times New Roman" w:hAnsi="Times New Roman"/>
          <w:iCs/>
          <w:sz w:val="24"/>
          <w:szCs w:val="24"/>
        </w:rPr>
        <w:t xml:space="preserve"> на культивированных </w:t>
      </w:r>
      <w:proofErr w:type="spellStart"/>
      <w:r w:rsidRPr="00F63FFF">
        <w:rPr>
          <w:rFonts w:ascii="Times New Roman" w:hAnsi="Times New Roman"/>
          <w:iCs/>
          <w:sz w:val="24"/>
          <w:szCs w:val="24"/>
        </w:rPr>
        <w:t>гепатоцитах</w:t>
      </w:r>
      <w:proofErr w:type="spellEnd"/>
      <w:r w:rsidRPr="00F63FFF">
        <w:rPr>
          <w:rFonts w:ascii="Times New Roman" w:hAnsi="Times New Roman"/>
          <w:iCs/>
          <w:sz w:val="24"/>
          <w:szCs w:val="24"/>
        </w:rPr>
        <w:t xml:space="preserve"> человека показали, что в концентрациях от</w:t>
      </w:r>
      <w:r w:rsidRPr="00F63FFF">
        <w:rPr>
          <w:rFonts w:ascii="Times New Roman" w:hAnsi="Times New Roman"/>
          <w:sz w:val="24"/>
          <w:szCs w:val="24"/>
        </w:rPr>
        <w:t xml:space="preserve"> 1,0 до 100 </w:t>
      </w:r>
      <w:proofErr w:type="spellStart"/>
      <w:r w:rsidRPr="00F63FFF">
        <w:rPr>
          <w:rFonts w:ascii="Times New Roman" w:hAnsi="Times New Roman"/>
          <w:sz w:val="24"/>
          <w:szCs w:val="24"/>
        </w:rPr>
        <w:t>мкМ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63FFF">
        <w:rPr>
          <w:rFonts w:ascii="Times New Roman" w:hAnsi="Times New Roman"/>
          <w:sz w:val="24"/>
          <w:szCs w:val="24"/>
        </w:rPr>
        <w:t>т.e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. примерно в 30 раз выше концентраций, достигаемых в клинических условиях)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не индуцировал CYP1A2, 2C19 или 3A4 или 3A5. В исследованиях, определяющих ингибирующее действие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на ряд изоферментов цитохрома P450 (CYP1A2, 2B6, 2C8, 2C9, 2C19, 2D6, 2E1 и 3A4), препарат в концентрациях до 100 </w:t>
      </w:r>
      <w:proofErr w:type="spellStart"/>
      <w:r w:rsidRPr="00F63FFF">
        <w:rPr>
          <w:rFonts w:ascii="Times New Roman" w:hAnsi="Times New Roman"/>
          <w:sz w:val="24"/>
          <w:szCs w:val="24"/>
        </w:rPr>
        <w:t>мкМ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не ингибировал активность этих ферментов. Таким образом, маловероятно, что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в концентрациях, достигаемых в клинических условиях, оказывал индуцирующее или ингибирующее действие на ферменты цитохрома CYP.</w:t>
      </w:r>
    </w:p>
    <w:p w14:paraId="60A0900D" w14:textId="77777777" w:rsidR="00467E5B" w:rsidRPr="00F63FFF" w:rsidRDefault="00676E43" w:rsidP="00C35DC7">
      <w:pPr>
        <w:keepNext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3FFF">
        <w:rPr>
          <w:rFonts w:ascii="Times New Roman" w:eastAsia="Times New Roman" w:hAnsi="Times New Roman"/>
          <w:i/>
          <w:iCs/>
          <w:sz w:val="24"/>
          <w:szCs w:val="24"/>
        </w:rPr>
        <w:t>Элиминация</w:t>
      </w:r>
    </w:p>
    <w:p w14:paraId="0AC327CE" w14:textId="77777777" w:rsidR="00467E5B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быстро выводится из организма, его период полувыведения </w:t>
      </w:r>
      <w:r w:rsidRPr="00F63FFF">
        <w:rPr>
          <w:rFonts w:ascii="Times New Roman" w:eastAsia="Times New Roman" w:hAnsi="Times New Roman"/>
          <w:noProof/>
          <w:sz w:val="24"/>
          <w:szCs w:val="24"/>
        </w:rPr>
        <w:t>(</w:t>
      </w:r>
      <w:r w:rsidR="00467E5B" w:rsidRPr="00F63FFF">
        <w:rPr>
          <w:rFonts w:ascii="Times New Roman" w:eastAsia="Times New Roman" w:hAnsi="Times New Roman"/>
          <w:noProof/>
          <w:sz w:val="24"/>
          <w:szCs w:val="24"/>
        </w:rPr>
        <w:t>Т</w:t>
      </w:r>
      <w:r w:rsidRPr="00F63FFF">
        <w:rPr>
          <w:rFonts w:ascii="Times New Roman" w:eastAsia="Times New Roman" w:hAnsi="Times New Roman"/>
          <w:noProof/>
          <w:sz w:val="24"/>
          <w:szCs w:val="24"/>
          <w:vertAlign w:val="subscript"/>
        </w:rPr>
        <w:t>½</w:t>
      </w:r>
      <w:r w:rsidRPr="00F63FFF">
        <w:rPr>
          <w:rFonts w:ascii="Times New Roman" w:eastAsia="Times New Roman" w:hAnsi="Times New Roman"/>
          <w:noProof/>
          <w:sz w:val="24"/>
          <w:szCs w:val="24"/>
        </w:rPr>
        <w:t xml:space="preserve">) 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после подкожного введения составляет 41±8 мин. После подкожного введения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в дозе 75 мг/м</w:t>
      </w:r>
      <w:r w:rsidRPr="00F63FFF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один раз в день в течение 7 дней накопления препарата не наблюдается.</w:t>
      </w:r>
    </w:p>
    <w:p w14:paraId="7BDABE95" w14:textId="77777777" w:rsidR="00467E5B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lastRenderedPageBreak/>
        <w:t xml:space="preserve">Большая часть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и/или его метаболитов выводится почками. После внутривенного и подкожного введений </w:t>
      </w:r>
      <w:r w:rsidRPr="00F63FFF">
        <w:rPr>
          <w:rFonts w:ascii="Times New Roman" w:eastAsia="Times New Roman" w:hAnsi="Times New Roman"/>
          <w:noProof/>
          <w:sz w:val="24"/>
          <w:szCs w:val="24"/>
          <w:vertAlign w:val="superscript"/>
        </w:rPr>
        <w:t>14</w:t>
      </w:r>
      <w:r w:rsidRPr="00F63FFF">
        <w:rPr>
          <w:rFonts w:ascii="Times New Roman" w:eastAsia="Times New Roman" w:hAnsi="Times New Roman"/>
          <w:noProof/>
          <w:sz w:val="24"/>
          <w:szCs w:val="24"/>
          <w:lang w:val="en-GB"/>
        </w:rPr>
        <w:t>C</w:t>
      </w:r>
      <w:r w:rsidRPr="00F63FFF">
        <w:rPr>
          <w:rFonts w:ascii="Times New Roman" w:eastAsia="Times New Roman" w:hAnsi="Times New Roman"/>
          <w:noProof/>
          <w:sz w:val="24"/>
          <w:szCs w:val="24"/>
        </w:rPr>
        <w:noBreakHyphen/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>, меченного радиоактивным изотопом, соответственно 85 и 50% введенного меченного препарата выводилось почками. Через кишечник выводилось менее 1% препарата.</w:t>
      </w:r>
    </w:p>
    <w:p w14:paraId="11CE558A" w14:textId="77777777" w:rsidR="00467E5B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3FFF">
        <w:rPr>
          <w:rFonts w:ascii="Times New Roman" w:eastAsia="Times New Roman" w:hAnsi="Times New Roman"/>
          <w:i/>
          <w:sz w:val="24"/>
          <w:szCs w:val="24"/>
        </w:rPr>
        <w:t>Особ</w:t>
      </w:r>
      <w:r w:rsidR="00676E43" w:rsidRPr="00F63FFF">
        <w:rPr>
          <w:rFonts w:ascii="Times New Roman" w:eastAsia="Times New Roman" w:hAnsi="Times New Roman"/>
          <w:i/>
          <w:sz w:val="24"/>
          <w:szCs w:val="24"/>
        </w:rPr>
        <w:t>ые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 групп</w:t>
      </w:r>
      <w:r w:rsidR="00676E43" w:rsidRPr="00F63FFF">
        <w:rPr>
          <w:rFonts w:ascii="Times New Roman" w:eastAsia="Times New Roman" w:hAnsi="Times New Roman"/>
          <w:i/>
          <w:sz w:val="24"/>
          <w:szCs w:val="24"/>
        </w:rPr>
        <w:t>ы</w:t>
      </w:r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 пациентов</w:t>
      </w:r>
    </w:p>
    <w:p w14:paraId="7A431634" w14:textId="4BF01212" w:rsidR="00F177F5" w:rsidRPr="00F63FFF" w:rsidRDefault="00DD7673" w:rsidP="00F17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hAnsi="Times New Roman"/>
          <w:sz w:val="24"/>
          <w:szCs w:val="24"/>
        </w:rPr>
        <w:t>Влияние нарушения функции печени</w:t>
      </w:r>
      <w:r w:rsidR="00F177F5" w:rsidRPr="00F63FFF">
        <w:rPr>
          <w:rFonts w:ascii="Times New Roman" w:hAnsi="Times New Roman"/>
          <w:sz w:val="24"/>
          <w:szCs w:val="24"/>
          <w:lang w:eastAsia="ru-RU"/>
        </w:rPr>
        <w:t>,</w:t>
      </w:r>
      <w:r w:rsidRPr="00F63FFF">
        <w:rPr>
          <w:rFonts w:ascii="Times New Roman" w:hAnsi="Times New Roman"/>
          <w:sz w:val="24"/>
          <w:szCs w:val="24"/>
        </w:rPr>
        <w:t xml:space="preserve"> а также возраста, пола или расы на фармакокинетические параметры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не изучалось.</w:t>
      </w:r>
    </w:p>
    <w:p w14:paraId="350B7D76" w14:textId="258F5728" w:rsidR="00F177F5" w:rsidRPr="00F63FFF" w:rsidRDefault="00F177F5" w:rsidP="00F177F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63FFF">
        <w:rPr>
          <w:rFonts w:ascii="Times New Roman" w:hAnsi="Times New Roman"/>
          <w:i/>
          <w:iCs/>
          <w:sz w:val="24"/>
          <w:szCs w:val="24"/>
        </w:rPr>
        <w:t xml:space="preserve">Дети </w:t>
      </w:r>
    </w:p>
    <w:p w14:paraId="772D1FCB" w14:textId="77777777" w:rsidR="003021E5" w:rsidRPr="00F63FFF" w:rsidRDefault="003021E5" w:rsidP="003021E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u"/>
        </w:rPr>
      </w:pP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В исследовании </w:t>
      </w:r>
      <w:bookmarkStart w:id="24" w:name="_Hlk35612304"/>
      <w:r w:rsidRPr="00F63FFF">
        <w:rPr>
          <w:rFonts w:ascii="Times New Roman" w:hAnsi="Times New Roman"/>
          <w:iCs/>
          <w:sz w:val="24"/>
          <w:szCs w:val="24"/>
          <w:lang w:val="ru"/>
        </w:rPr>
        <w:t>AZA-JMML-001</w:t>
      </w:r>
      <w:bookmarkEnd w:id="24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 фармакокинетический анализ был проведен у 10 детей с </w:t>
      </w:r>
      <w:proofErr w:type="spellStart"/>
      <w:r w:rsidRPr="00F63FFF">
        <w:rPr>
          <w:rFonts w:ascii="Times New Roman" w:hAnsi="Times New Roman"/>
          <w:sz w:val="24"/>
          <w:szCs w:val="24"/>
        </w:rPr>
        <w:t>миелодиспластическим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синдромом (</w:t>
      </w: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МДС) и 18 детей с ювенильным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миеломоноцитарным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 лейкозом (ЮММЛ) на 7 день первого цикла терапии. Медиана (диапазон) возраста пациентов с МДС и ЮММЛ составила 13,3 (1,9-15) лет и 2,1 (0,2-6,9) года, соответственно.</w:t>
      </w:r>
    </w:p>
    <w:p w14:paraId="1929A489" w14:textId="06AD4B7D" w:rsidR="003021E5" w:rsidRPr="00F63FFF" w:rsidRDefault="003021E5" w:rsidP="003021E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u"/>
        </w:rPr>
      </w:pPr>
      <w:r w:rsidRPr="00F63FFF">
        <w:rPr>
          <w:rFonts w:ascii="Times New Roman" w:hAnsi="Times New Roman"/>
          <w:iCs/>
          <w:sz w:val="24"/>
          <w:szCs w:val="24"/>
          <w:lang w:val="ru"/>
        </w:rPr>
        <w:t>После внутривенного введения в дозе 75 мг/м</w:t>
      </w:r>
      <w:r w:rsidRPr="00F63FFF">
        <w:rPr>
          <w:rFonts w:ascii="Times New Roman" w:hAnsi="Times New Roman"/>
          <w:iCs/>
          <w:sz w:val="24"/>
          <w:szCs w:val="24"/>
          <w:vertAlign w:val="superscript"/>
          <w:lang w:val="ru"/>
        </w:rPr>
        <w:t>2</w:t>
      </w: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 </w:t>
      </w:r>
      <w:proofErr w:type="spellStart"/>
      <w:r w:rsidR="004D56F7">
        <w:rPr>
          <w:rFonts w:ascii="Times New Roman" w:hAnsi="Times New Roman"/>
          <w:iCs/>
          <w:sz w:val="24"/>
          <w:szCs w:val="24"/>
          <w:lang w:val="ru"/>
        </w:rPr>
        <w:t>азацитидин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 быстро (в течение</w:t>
      </w:r>
      <w:r w:rsidRPr="00F63FFF">
        <w:rPr>
          <w:rFonts w:ascii="Times New Roman" w:hAnsi="Times New Roman"/>
          <w:iCs/>
          <w:sz w:val="24"/>
          <w:szCs w:val="24"/>
        </w:rPr>
        <w:t xml:space="preserve"> </w:t>
      </w: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0,083 часа) достигал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C</w:t>
      </w:r>
      <w:r w:rsidRPr="00F63FFF">
        <w:rPr>
          <w:rFonts w:ascii="Times New Roman" w:hAnsi="Times New Roman"/>
          <w:iCs/>
          <w:sz w:val="24"/>
          <w:szCs w:val="24"/>
          <w:vertAlign w:val="subscript"/>
          <w:lang w:val="ru"/>
        </w:rPr>
        <w:t>max</w:t>
      </w:r>
      <w:proofErr w:type="spellEnd"/>
      <w:r w:rsidRPr="00F63FFF">
        <w:rPr>
          <w:rFonts w:ascii="Times New Roman" w:hAnsi="Times New Roman"/>
          <w:iCs/>
          <w:sz w:val="24"/>
          <w:szCs w:val="24"/>
          <w:vertAlign w:val="subscript"/>
          <w:lang w:val="ru"/>
        </w:rPr>
        <w:t xml:space="preserve"> </w:t>
      </w: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как у детей с МДС, так и у детей с ЮММЛ. Средние геометрические значения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C</w:t>
      </w:r>
      <w:r w:rsidRPr="00F63FFF">
        <w:rPr>
          <w:rFonts w:ascii="Times New Roman" w:hAnsi="Times New Roman"/>
          <w:iCs/>
          <w:sz w:val="24"/>
          <w:szCs w:val="24"/>
          <w:vertAlign w:val="subscript"/>
          <w:lang w:val="ru"/>
        </w:rPr>
        <w:t>max</w:t>
      </w:r>
      <w:proofErr w:type="spellEnd"/>
      <w:r w:rsidRPr="00F63FFF">
        <w:rPr>
          <w:rFonts w:ascii="Times New Roman" w:hAnsi="Times New Roman"/>
          <w:iCs/>
          <w:sz w:val="24"/>
          <w:szCs w:val="24"/>
          <w:vertAlign w:val="subscript"/>
          <w:lang w:val="ru"/>
        </w:rPr>
        <w:t xml:space="preserve"> </w:t>
      </w: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составили 1797,5 и 1066,3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нг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>/мл, а средние геометрические значения AUC</w:t>
      </w:r>
      <w:r w:rsidRPr="00F63FFF">
        <w:rPr>
          <w:rFonts w:ascii="Times New Roman" w:hAnsi="Times New Roman"/>
          <w:iCs/>
          <w:sz w:val="24"/>
          <w:szCs w:val="24"/>
          <w:vertAlign w:val="subscript"/>
          <w:lang w:val="ru"/>
        </w:rPr>
        <w:t>0-∞</w:t>
      </w:r>
      <w:r w:rsidRPr="00F63FFF">
        <w:rPr>
          <w:rFonts w:ascii="Times New Roman" w:hAnsi="Times New Roman"/>
          <w:iCs/>
          <w:sz w:val="24"/>
          <w:szCs w:val="24"/>
          <w:vertAlign w:val="subscript"/>
        </w:rPr>
        <w:t xml:space="preserve"> </w:t>
      </w: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– 606,9 и 240,2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нг∙ч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/мл у пациентов с МДС и ЮММЛ, соответственно. Средние геометрические значения объема распределения составили 103,9 и 61,1 л у пациентов с МДС и ЮММЛ, соответственно. Общая экспозиция </w:t>
      </w:r>
      <w:proofErr w:type="spellStart"/>
      <w:r w:rsidR="004D56F7">
        <w:rPr>
          <w:rFonts w:ascii="Times New Roman" w:hAnsi="Times New Roman"/>
          <w:iCs/>
          <w:sz w:val="24"/>
          <w:szCs w:val="24"/>
          <w:lang w:val="ru"/>
        </w:rPr>
        <w:t>азацитидина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 в плазме крови, по-видимому, была выше у пациентов с МДС, при этом отмечалась умеренная или высокая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межиндивидуальная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 вариабельность значений AUC и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C</w:t>
      </w:r>
      <w:r w:rsidRPr="00F63FFF">
        <w:rPr>
          <w:rFonts w:ascii="Times New Roman" w:hAnsi="Times New Roman"/>
          <w:iCs/>
          <w:sz w:val="24"/>
          <w:szCs w:val="24"/>
          <w:vertAlign w:val="subscript"/>
          <w:lang w:val="ru"/>
        </w:rPr>
        <w:t>max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>.</w:t>
      </w:r>
    </w:p>
    <w:p w14:paraId="6D99E3EC" w14:textId="77777777" w:rsidR="003021E5" w:rsidRPr="00F63FFF" w:rsidRDefault="003021E5" w:rsidP="003021E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Средние геометрические значения </w:t>
      </w:r>
      <w:r w:rsidRPr="00F63FFF">
        <w:rPr>
          <w:rFonts w:ascii="Times New Roman" w:hAnsi="Times New Roman"/>
          <w:sz w:val="24"/>
          <w:szCs w:val="24"/>
          <w:lang w:val="ru"/>
        </w:rPr>
        <w:t>t</w:t>
      </w:r>
      <w:r w:rsidRPr="00F63FFF">
        <w:rPr>
          <w:rFonts w:ascii="Times New Roman" w:hAnsi="Times New Roman"/>
          <w:sz w:val="24"/>
          <w:szCs w:val="24"/>
          <w:vertAlign w:val="subscript"/>
          <w:lang w:val="ru"/>
        </w:rPr>
        <w:t>1/2</w:t>
      </w:r>
      <w:r w:rsidRPr="00F63FFF">
        <w:rPr>
          <w:rFonts w:ascii="Times New Roman" w:hAnsi="Times New Roman"/>
          <w:sz w:val="24"/>
          <w:szCs w:val="24"/>
          <w:lang w:val="ru"/>
        </w:rPr>
        <w:t xml:space="preserve"> </w:t>
      </w:r>
      <w:r w:rsidRPr="00F63FFF">
        <w:rPr>
          <w:rFonts w:ascii="Times New Roman" w:hAnsi="Times New Roman"/>
          <w:iCs/>
          <w:sz w:val="24"/>
          <w:szCs w:val="24"/>
          <w:lang w:val="ru"/>
        </w:rPr>
        <w:t>составили 0,4 и 0,3 часа, а средние геометрические значения клиренса – 166,4 и 148,3 л/ч у пациентов с МДС и ЮММЛ, соответственно.</w:t>
      </w:r>
    </w:p>
    <w:p w14:paraId="43C9D1DD" w14:textId="224DD999" w:rsidR="003021E5" w:rsidRPr="00F63FFF" w:rsidRDefault="003021E5" w:rsidP="003021E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Фармакокинетические данные, полученные в ходе исследования AZA-JMML-001, объединили и сопоставили с таковыми, полученными у 6 взрослых пациентов с МДС, которым внутривенно вводили </w:t>
      </w:r>
      <w:proofErr w:type="spellStart"/>
      <w:r w:rsidR="004D56F7">
        <w:rPr>
          <w:rFonts w:ascii="Times New Roman" w:hAnsi="Times New Roman"/>
          <w:iCs/>
          <w:sz w:val="24"/>
          <w:szCs w:val="24"/>
          <w:lang w:val="ru"/>
        </w:rPr>
        <w:t>азацитидин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 в дозе 75 мг/м</w:t>
      </w:r>
      <w:r w:rsidRPr="00F63FFF">
        <w:rPr>
          <w:rFonts w:ascii="Times New Roman" w:hAnsi="Times New Roman"/>
          <w:iCs/>
          <w:sz w:val="24"/>
          <w:szCs w:val="24"/>
          <w:vertAlign w:val="superscript"/>
          <w:lang w:val="ru"/>
        </w:rPr>
        <w:t>2</w:t>
      </w: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 в рамках исследования AZA</w:t>
      </w:r>
      <w:r w:rsidRPr="00F63FFF">
        <w:rPr>
          <w:rFonts w:ascii="Times New Roman" w:hAnsi="Times New Roman"/>
          <w:iCs/>
          <w:sz w:val="24"/>
          <w:szCs w:val="24"/>
          <w:lang w:val="ru"/>
        </w:rPr>
        <w:noBreakHyphen/>
        <w:t xml:space="preserve">2002-BA-002. После внутривенного введения </w:t>
      </w:r>
      <w:proofErr w:type="spellStart"/>
      <w:r w:rsidR="004D56F7">
        <w:rPr>
          <w:rFonts w:ascii="Times New Roman" w:hAnsi="Times New Roman"/>
          <w:iCs/>
          <w:sz w:val="24"/>
          <w:szCs w:val="24"/>
          <w:lang w:val="ru"/>
        </w:rPr>
        <w:t>азацитидина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 средние значения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C</w:t>
      </w:r>
      <w:r w:rsidRPr="00F63FFF">
        <w:rPr>
          <w:rFonts w:ascii="Times New Roman" w:hAnsi="Times New Roman"/>
          <w:iCs/>
          <w:sz w:val="24"/>
          <w:szCs w:val="24"/>
          <w:vertAlign w:val="subscript"/>
          <w:lang w:val="ru"/>
        </w:rPr>
        <w:t>max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 и AUC</w:t>
      </w:r>
      <w:r w:rsidRPr="00F63FFF">
        <w:rPr>
          <w:rFonts w:ascii="Times New Roman" w:hAnsi="Times New Roman"/>
          <w:iCs/>
          <w:sz w:val="24"/>
          <w:szCs w:val="24"/>
          <w:vertAlign w:val="subscript"/>
          <w:lang w:val="ru"/>
        </w:rPr>
        <w:t>0-t</w:t>
      </w: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 были схожими у взрослых пациентов и детей (2750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нг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/мл по сравнению с 2841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нг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/мл и 1025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нг∙ч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/мл по сравнению с 882,1 </w:t>
      </w:r>
      <w:proofErr w:type="spellStart"/>
      <w:r w:rsidRPr="00F63FFF">
        <w:rPr>
          <w:rFonts w:ascii="Times New Roman" w:hAnsi="Times New Roman"/>
          <w:iCs/>
          <w:sz w:val="24"/>
          <w:szCs w:val="24"/>
          <w:lang w:val="ru"/>
        </w:rPr>
        <w:t>нг∙ч</w:t>
      </w:r>
      <w:proofErr w:type="spellEnd"/>
      <w:r w:rsidRPr="00F63FFF">
        <w:rPr>
          <w:rFonts w:ascii="Times New Roman" w:hAnsi="Times New Roman"/>
          <w:iCs/>
          <w:sz w:val="24"/>
          <w:szCs w:val="24"/>
          <w:lang w:val="ru"/>
        </w:rPr>
        <w:t>/мл, соответственно).</w:t>
      </w:r>
    </w:p>
    <w:p w14:paraId="3084F250" w14:textId="77777777" w:rsidR="003021E5" w:rsidRPr="00F63FFF" w:rsidRDefault="003021E5" w:rsidP="003021E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В исследовании AZA-AML-004 фармакокинетический анализ был выполнен у 6 из 7 детей хотя бы с одной измеряемой концентрацией препарата после введения дозы. </w:t>
      </w:r>
      <w:bookmarkStart w:id="25" w:name="_Hlk47483741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Медиана (диапазон) возраста пациентов с </w:t>
      </w:r>
      <w:r w:rsidRPr="00F63FFF">
        <w:rPr>
          <w:rFonts w:ascii="Times New Roman" w:hAnsi="Times New Roman"/>
          <w:sz w:val="24"/>
          <w:szCs w:val="24"/>
        </w:rPr>
        <w:t>острым миелоидным лейкозом (</w:t>
      </w:r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ОМЛ) составила 6,7 (2-12) </w:t>
      </w:r>
      <w:bookmarkEnd w:id="25"/>
      <w:r w:rsidRPr="00F63FFF">
        <w:rPr>
          <w:rFonts w:ascii="Times New Roman" w:hAnsi="Times New Roman"/>
          <w:iCs/>
          <w:sz w:val="24"/>
          <w:szCs w:val="24"/>
          <w:lang w:val="ru"/>
        </w:rPr>
        <w:t xml:space="preserve">лет. </w:t>
      </w:r>
    </w:p>
    <w:p w14:paraId="7750B788" w14:textId="77777777" w:rsidR="003021E5" w:rsidRPr="00F63FFF" w:rsidRDefault="003021E5" w:rsidP="0030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hAnsi="Times New Roman"/>
          <w:sz w:val="24"/>
          <w:szCs w:val="24"/>
          <w:lang w:val="ru"/>
        </w:rPr>
        <w:t>После многократного введения препарата в дозе 100 мг/м</w:t>
      </w:r>
      <w:r w:rsidRPr="00F63FFF">
        <w:rPr>
          <w:rFonts w:ascii="Times New Roman" w:hAnsi="Times New Roman"/>
          <w:sz w:val="24"/>
          <w:szCs w:val="24"/>
          <w:vertAlign w:val="superscript"/>
          <w:lang w:val="ru"/>
        </w:rPr>
        <w:t>2</w:t>
      </w:r>
      <w:r w:rsidRPr="00F63FFF">
        <w:rPr>
          <w:rFonts w:ascii="Times New Roman" w:hAnsi="Times New Roman"/>
          <w:sz w:val="24"/>
          <w:szCs w:val="24"/>
          <w:lang w:val="ru"/>
        </w:rPr>
        <w:t xml:space="preserve"> геометрические средние значения </w:t>
      </w:r>
      <w:proofErr w:type="spellStart"/>
      <w:r w:rsidRPr="00F63FFF">
        <w:rPr>
          <w:rFonts w:ascii="Times New Roman" w:hAnsi="Times New Roman"/>
          <w:sz w:val="24"/>
          <w:szCs w:val="24"/>
          <w:lang w:val="ru"/>
        </w:rPr>
        <w:t>C</w:t>
      </w:r>
      <w:r w:rsidRPr="00F63FFF">
        <w:rPr>
          <w:rFonts w:ascii="Times New Roman" w:hAnsi="Times New Roman"/>
          <w:sz w:val="24"/>
          <w:szCs w:val="24"/>
          <w:vertAlign w:val="subscript"/>
          <w:lang w:val="ru"/>
        </w:rPr>
        <w:t>max</w:t>
      </w:r>
      <w:proofErr w:type="spellEnd"/>
      <w:r w:rsidRPr="00F63FFF">
        <w:rPr>
          <w:rFonts w:ascii="Times New Roman" w:hAnsi="Times New Roman"/>
          <w:sz w:val="24"/>
          <w:szCs w:val="24"/>
          <w:lang w:val="ru"/>
        </w:rPr>
        <w:t xml:space="preserve"> и AUC</w:t>
      </w:r>
      <w:r w:rsidRPr="00F63FFF">
        <w:rPr>
          <w:rFonts w:ascii="Times New Roman" w:hAnsi="Times New Roman"/>
          <w:sz w:val="24"/>
          <w:szCs w:val="24"/>
          <w:vertAlign w:val="subscript"/>
          <w:lang w:val="ru"/>
        </w:rPr>
        <w:t xml:space="preserve">0-tau </w:t>
      </w:r>
      <w:r w:rsidRPr="00F63FFF">
        <w:rPr>
          <w:rFonts w:ascii="Times New Roman" w:hAnsi="Times New Roman"/>
          <w:sz w:val="24"/>
          <w:szCs w:val="24"/>
          <w:lang w:val="ru"/>
        </w:rPr>
        <w:t xml:space="preserve">на 7 день первого цикла терапии составили 1557 </w:t>
      </w:r>
      <w:proofErr w:type="spellStart"/>
      <w:r w:rsidRPr="00F63FFF">
        <w:rPr>
          <w:rFonts w:ascii="Times New Roman" w:hAnsi="Times New Roman"/>
          <w:sz w:val="24"/>
          <w:szCs w:val="24"/>
          <w:lang w:val="ru"/>
        </w:rPr>
        <w:t>нг</w:t>
      </w:r>
      <w:proofErr w:type="spellEnd"/>
      <w:r w:rsidRPr="00F63FFF">
        <w:rPr>
          <w:rFonts w:ascii="Times New Roman" w:hAnsi="Times New Roman"/>
          <w:sz w:val="24"/>
          <w:szCs w:val="24"/>
          <w:lang w:val="ru"/>
        </w:rPr>
        <w:t xml:space="preserve">/мл и                         899,6 </w:t>
      </w:r>
      <w:proofErr w:type="spellStart"/>
      <w:r w:rsidRPr="00F63FFF">
        <w:rPr>
          <w:rFonts w:ascii="Times New Roman" w:hAnsi="Times New Roman"/>
          <w:sz w:val="24"/>
          <w:szCs w:val="24"/>
          <w:lang w:val="ru"/>
        </w:rPr>
        <w:t>нг∙ч</w:t>
      </w:r>
      <w:proofErr w:type="spellEnd"/>
      <w:r w:rsidRPr="00F63FFF">
        <w:rPr>
          <w:rFonts w:ascii="Times New Roman" w:hAnsi="Times New Roman"/>
          <w:sz w:val="24"/>
          <w:szCs w:val="24"/>
          <w:lang w:val="ru"/>
        </w:rPr>
        <w:t xml:space="preserve">/мл, соответственно, при этом наблюдалась высокая </w:t>
      </w:r>
      <w:proofErr w:type="spellStart"/>
      <w:r w:rsidRPr="00F63FFF">
        <w:rPr>
          <w:rFonts w:ascii="Times New Roman" w:hAnsi="Times New Roman"/>
          <w:sz w:val="24"/>
          <w:szCs w:val="24"/>
          <w:lang w:val="ru"/>
        </w:rPr>
        <w:t>межиндивидуальная</w:t>
      </w:r>
      <w:proofErr w:type="spellEnd"/>
      <w:r w:rsidRPr="00F63FFF">
        <w:rPr>
          <w:rFonts w:ascii="Times New Roman" w:hAnsi="Times New Roman"/>
          <w:sz w:val="24"/>
          <w:szCs w:val="24"/>
          <w:lang w:val="ru"/>
        </w:rPr>
        <w:t xml:space="preserve"> вариабельность значений (</w:t>
      </w:r>
      <w:r w:rsidRPr="00F63FFF">
        <w:rPr>
          <w:rFonts w:ascii="Times New Roman" w:hAnsi="Times New Roman"/>
          <w:sz w:val="24"/>
          <w:szCs w:val="24"/>
          <w:lang w:val="en-US"/>
        </w:rPr>
        <w:t>CV</w:t>
      </w:r>
      <w:r w:rsidRPr="00F63FFF">
        <w:rPr>
          <w:rFonts w:ascii="Times New Roman" w:hAnsi="Times New Roman"/>
          <w:sz w:val="24"/>
          <w:szCs w:val="24"/>
          <w:lang w:val="ru"/>
        </w:rPr>
        <w:t>, %: 201,6 % и 87,8 %</w:t>
      </w:r>
      <w:r w:rsidRPr="00F63FFF">
        <w:rPr>
          <w:rFonts w:ascii="Times New Roman" w:hAnsi="Times New Roman"/>
          <w:sz w:val="24"/>
          <w:szCs w:val="24"/>
        </w:rPr>
        <w:t>,</w:t>
      </w:r>
      <w:r w:rsidRPr="00F63FFF">
        <w:rPr>
          <w:rFonts w:ascii="Times New Roman" w:hAnsi="Times New Roman"/>
          <w:sz w:val="24"/>
          <w:szCs w:val="24"/>
          <w:lang w:val="ru"/>
        </w:rPr>
        <w:t xml:space="preserve"> соответственно). </w:t>
      </w:r>
      <w:proofErr w:type="spellStart"/>
      <w:r w:rsidRPr="00F63FFF">
        <w:rPr>
          <w:rFonts w:ascii="Times New Roman" w:hAnsi="Times New Roman"/>
          <w:sz w:val="24"/>
          <w:szCs w:val="24"/>
          <w:lang w:val="ru"/>
        </w:rPr>
        <w:t>Азацитидин</w:t>
      </w:r>
      <w:proofErr w:type="spellEnd"/>
      <w:r w:rsidRPr="00F63FFF">
        <w:rPr>
          <w:rFonts w:ascii="Times New Roman" w:hAnsi="Times New Roman"/>
          <w:sz w:val="24"/>
          <w:szCs w:val="24"/>
          <w:lang w:val="ru"/>
        </w:rPr>
        <w:t xml:space="preserve"> быстро достигал </w:t>
      </w:r>
      <w:proofErr w:type="spellStart"/>
      <w:r w:rsidRPr="00F63FFF">
        <w:rPr>
          <w:rFonts w:ascii="Times New Roman" w:hAnsi="Times New Roman"/>
          <w:sz w:val="24"/>
          <w:szCs w:val="24"/>
          <w:lang w:val="ru"/>
        </w:rPr>
        <w:t>C</w:t>
      </w:r>
      <w:r w:rsidRPr="00F63FFF">
        <w:rPr>
          <w:rFonts w:ascii="Times New Roman" w:hAnsi="Times New Roman"/>
          <w:sz w:val="24"/>
          <w:szCs w:val="24"/>
          <w:vertAlign w:val="subscript"/>
          <w:lang w:val="ru"/>
        </w:rPr>
        <w:t>max</w:t>
      </w:r>
      <w:proofErr w:type="spellEnd"/>
      <w:r w:rsidRPr="00F63FFF">
        <w:rPr>
          <w:rFonts w:ascii="Times New Roman" w:hAnsi="Times New Roman"/>
          <w:sz w:val="24"/>
          <w:szCs w:val="24"/>
          <w:lang w:val="ru"/>
        </w:rPr>
        <w:t xml:space="preserve"> (медиана времени: 0,090 часа с момента внутривенного введения препарата), после чего концентрация снижалась при среднем геометрическом значении t</w:t>
      </w:r>
      <w:r w:rsidRPr="00F63FFF">
        <w:rPr>
          <w:rFonts w:ascii="Times New Roman" w:hAnsi="Times New Roman"/>
          <w:sz w:val="24"/>
          <w:szCs w:val="24"/>
          <w:vertAlign w:val="subscript"/>
          <w:lang w:val="ru"/>
        </w:rPr>
        <w:t>1/2</w:t>
      </w:r>
      <w:r w:rsidRPr="00F63FFF">
        <w:rPr>
          <w:rFonts w:ascii="Times New Roman" w:hAnsi="Times New Roman"/>
          <w:sz w:val="24"/>
          <w:szCs w:val="24"/>
          <w:lang w:val="ru"/>
        </w:rPr>
        <w:t xml:space="preserve"> 0,380 часа. Средние геометрические значения клиренса и объема распределения составили 127,2 л/ч и 70,2 л</w:t>
      </w:r>
      <w:r w:rsidRPr="00F63FFF">
        <w:rPr>
          <w:rFonts w:ascii="Times New Roman" w:hAnsi="Times New Roman"/>
          <w:sz w:val="24"/>
          <w:szCs w:val="24"/>
        </w:rPr>
        <w:t>,</w:t>
      </w:r>
      <w:r w:rsidRPr="00F63FFF">
        <w:rPr>
          <w:rFonts w:ascii="Times New Roman" w:hAnsi="Times New Roman"/>
          <w:sz w:val="24"/>
          <w:szCs w:val="24"/>
          <w:lang w:val="ru"/>
        </w:rPr>
        <w:t xml:space="preserve"> соответственно.</w:t>
      </w:r>
    </w:p>
    <w:p w14:paraId="6E9DDFC1" w14:textId="77777777" w:rsidR="003021E5" w:rsidRPr="00F63FFF" w:rsidRDefault="003021E5" w:rsidP="003021E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3FFF">
        <w:rPr>
          <w:rFonts w:ascii="Times New Roman" w:hAnsi="Times New Roman"/>
          <w:sz w:val="24"/>
          <w:szCs w:val="24"/>
          <w:lang w:val="ru"/>
        </w:rPr>
        <w:t xml:space="preserve">Экспозиция </w:t>
      </w:r>
      <w:proofErr w:type="spellStart"/>
      <w:r w:rsidRPr="00F63FFF">
        <w:rPr>
          <w:rFonts w:ascii="Times New Roman" w:hAnsi="Times New Roman"/>
          <w:sz w:val="24"/>
          <w:szCs w:val="24"/>
          <w:lang w:val="ru"/>
        </w:rPr>
        <w:t>азацитидина</w:t>
      </w:r>
      <w:proofErr w:type="spellEnd"/>
      <w:r w:rsidRPr="00F63FFF">
        <w:rPr>
          <w:rFonts w:ascii="Times New Roman" w:hAnsi="Times New Roman"/>
          <w:sz w:val="24"/>
          <w:szCs w:val="24"/>
          <w:lang w:val="ru"/>
        </w:rPr>
        <w:t xml:space="preserve">, наблюдавшаяся у детей с ОМЛ при молекулярном рецидиве после первой полной ремиссии, была сопоставима с таковой, определенной на основании объединенных данных 10 детей с МДС и 18 детей с ЮММЛ, а также с экспозицией </w:t>
      </w:r>
      <w:proofErr w:type="spellStart"/>
      <w:r w:rsidRPr="00F63FFF">
        <w:rPr>
          <w:rFonts w:ascii="Times New Roman" w:hAnsi="Times New Roman"/>
          <w:sz w:val="24"/>
          <w:szCs w:val="24"/>
          <w:lang w:val="ru"/>
        </w:rPr>
        <w:t>азацитидина</w:t>
      </w:r>
      <w:proofErr w:type="spellEnd"/>
      <w:r w:rsidRPr="00F63FFF">
        <w:rPr>
          <w:rFonts w:ascii="Times New Roman" w:hAnsi="Times New Roman"/>
          <w:sz w:val="24"/>
          <w:szCs w:val="24"/>
          <w:lang w:val="ru"/>
        </w:rPr>
        <w:t xml:space="preserve"> у взрослых пациентов с МДС.</w:t>
      </w:r>
    </w:p>
    <w:p w14:paraId="265DA17B" w14:textId="20AC847E" w:rsidR="00467E5B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3FFF">
        <w:rPr>
          <w:rFonts w:ascii="Times New Roman" w:eastAsia="Times New Roman" w:hAnsi="Times New Roman"/>
          <w:i/>
          <w:sz w:val="24"/>
          <w:szCs w:val="24"/>
        </w:rPr>
        <w:t>Почечная недостаточность</w:t>
      </w:r>
    </w:p>
    <w:p w14:paraId="7108C42C" w14:textId="77777777" w:rsidR="00467E5B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Почечная недостаточность не оказывает существенного влияния на фармакокинетические показатели экспозиции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после однократного и многократного подкожного введения. После подкожного введения однократной дозы 75 мг/м</w:t>
      </w:r>
      <w:r w:rsidRPr="00F63FFF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значения показателей экспозиции </w:t>
      </w:r>
      <w:r w:rsidRPr="00F63FFF">
        <w:rPr>
          <w:rFonts w:ascii="Times New Roman" w:eastAsia="Times New Roman" w:hAnsi="Times New Roman"/>
          <w:i/>
          <w:sz w:val="24"/>
          <w:szCs w:val="24"/>
        </w:rPr>
        <w:t>(</w:t>
      </w:r>
      <w:r w:rsidRPr="00F63FFF">
        <w:rPr>
          <w:rFonts w:ascii="Times New Roman" w:eastAsia="Times New Roman" w:hAnsi="Times New Roman"/>
          <w:sz w:val="24"/>
          <w:szCs w:val="24"/>
          <w:lang w:val="en-US"/>
        </w:rPr>
        <w:t>AUC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F63FFF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max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>) у пациентов с почечной недостаточностью легкой, средней и тяжелой степени тяжести увеличились, соответственно, на 11-21%, 15-27% и 41-66%</w:t>
      </w:r>
      <w:r w:rsidR="00467E5B" w:rsidRPr="00F63FF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по сравнению со значениями этих </w:t>
      </w:r>
      <w:r w:rsidRPr="00F63FFF">
        <w:rPr>
          <w:rFonts w:ascii="Times New Roman" w:eastAsia="Times New Roman" w:hAnsi="Times New Roman"/>
          <w:sz w:val="24"/>
          <w:szCs w:val="24"/>
        </w:rPr>
        <w:lastRenderedPageBreak/>
        <w:t xml:space="preserve">показателей у пациентов с нормальной функцией почек. Тем не менее, абсолютные значения экспозиции находились в пределах нормы. Для пациентов с почечной недостаточностью изменение стартовой дозы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не требуется. Так как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и/или его метаболиты выводятся преимущественно почками, состояние больных с почечной недостаточностью следует тщательно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мониторировать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 целью контроля нежелательных явлений.</w:t>
      </w:r>
    </w:p>
    <w:p w14:paraId="785AB9AD" w14:textId="77777777" w:rsidR="00467E5B" w:rsidRPr="00F63FFF" w:rsidRDefault="00467E5B" w:rsidP="0020532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F63FFF">
        <w:rPr>
          <w:rFonts w:ascii="Times New Roman" w:eastAsia="Times New Roman" w:hAnsi="Times New Roman"/>
          <w:i/>
          <w:sz w:val="24"/>
          <w:szCs w:val="24"/>
        </w:rPr>
        <w:t>Фармакогеномика</w:t>
      </w:r>
      <w:proofErr w:type="spellEnd"/>
      <w:r w:rsidRPr="00F63FFF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4B921F0D" w14:textId="77777777" w:rsidR="00DD7673" w:rsidRPr="00F63FFF" w:rsidRDefault="00DD7673" w:rsidP="0020532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Исследований влияния известных полиморфизмов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цитидиндезаминазы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на метаболизм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не проводилось.</w:t>
      </w:r>
    </w:p>
    <w:p w14:paraId="3FBE23A5" w14:textId="77777777" w:rsidR="00984FD8" w:rsidRPr="00F63FFF" w:rsidRDefault="00984FD8" w:rsidP="002053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EA990A1" w14:textId="77777777" w:rsidR="00F177F5" w:rsidRPr="00F63FFF" w:rsidRDefault="00F177F5" w:rsidP="00F177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63FFF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Данные доклинической безопасности</w:t>
      </w:r>
    </w:p>
    <w:p w14:paraId="566FC7D2" w14:textId="77777777" w:rsidR="00F177F5" w:rsidRPr="00F63FFF" w:rsidRDefault="00F177F5" w:rsidP="00F17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FFF"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индуцирует как генные мутации, так и хромосомные аберрации в бактериальных клетках и клетках млекопитающих </w:t>
      </w:r>
      <w:r w:rsidRPr="00F63FFF">
        <w:rPr>
          <w:rFonts w:ascii="Times New Roman" w:hAnsi="Times New Roman"/>
          <w:i/>
          <w:sz w:val="24"/>
          <w:szCs w:val="24"/>
          <w:lang w:val="en-US"/>
        </w:rPr>
        <w:t>in</w:t>
      </w:r>
      <w:r w:rsidRPr="00F63FFF">
        <w:rPr>
          <w:rFonts w:ascii="Times New Roman" w:hAnsi="Times New Roman"/>
          <w:i/>
          <w:sz w:val="24"/>
          <w:szCs w:val="24"/>
        </w:rPr>
        <w:t xml:space="preserve"> </w:t>
      </w:r>
      <w:r w:rsidRPr="00F63FFF">
        <w:rPr>
          <w:rFonts w:ascii="Times New Roman" w:hAnsi="Times New Roman"/>
          <w:i/>
          <w:sz w:val="24"/>
          <w:szCs w:val="24"/>
          <w:lang w:val="en-US"/>
        </w:rPr>
        <w:t>vitro</w:t>
      </w:r>
      <w:r w:rsidRPr="00F63FFF">
        <w:rPr>
          <w:rFonts w:ascii="Times New Roman" w:hAnsi="Times New Roman"/>
          <w:sz w:val="24"/>
          <w:szCs w:val="24"/>
        </w:rPr>
        <w:t xml:space="preserve">. </w:t>
      </w:r>
      <w:r w:rsidRPr="00F63FFF">
        <w:rPr>
          <w:rFonts w:ascii="Times New Roman" w:hAnsi="Times New Roman"/>
          <w:iCs/>
          <w:sz w:val="24"/>
          <w:szCs w:val="24"/>
        </w:rPr>
        <w:t xml:space="preserve">Потенциальная канцерогенность </w:t>
      </w:r>
      <w:proofErr w:type="spellStart"/>
      <w:r w:rsidRPr="00F63FFF">
        <w:rPr>
          <w:rFonts w:ascii="Times New Roman" w:hAnsi="Times New Roman"/>
          <w:iCs/>
          <w:sz w:val="24"/>
          <w:szCs w:val="24"/>
        </w:rPr>
        <w:t>азацитидина</w:t>
      </w:r>
      <w:proofErr w:type="spellEnd"/>
      <w:r w:rsidRPr="00F63FFF">
        <w:rPr>
          <w:rFonts w:ascii="Times New Roman" w:hAnsi="Times New Roman"/>
          <w:iCs/>
          <w:sz w:val="24"/>
          <w:szCs w:val="24"/>
        </w:rPr>
        <w:t xml:space="preserve"> оценивалась на мышах и крысах. </w:t>
      </w:r>
      <w:proofErr w:type="spellStart"/>
      <w:r w:rsidRPr="00F63FFF">
        <w:rPr>
          <w:rFonts w:ascii="Times New Roman" w:hAnsi="Times New Roman"/>
          <w:iCs/>
          <w:sz w:val="24"/>
          <w:szCs w:val="24"/>
        </w:rPr>
        <w:t>Азацитидин</w:t>
      </w:r>
      <w:proofErr w:type="spellEnd"/>
      <w:r w:rsidRPr="00F63FFF">
        <w:rPr>
          <w:rFonts w:ascii="Times New Roman" w:hAnsi="Times New Roman"/>
          <w:iCs/>
          <w:sz w:val="24"/>
          <w:szCs w:val="24"/>
        </w:rPr>
        <w:t xml:space="preserve"> стимулировал рост опухолей </w:t>
      </w:r>
      <w:proofErr w:type="spellStart"/>
      <w:r w:rsidRPr="00F63FFF">
        <w:rPr>
          <w:rFonts w:ascii="Times New Roman" w:hAnsi="Times New Roman"/>
          <w:iCs/>
          <w:sz w:val="24"/>
          <w:szCs w:val="24"/>
        </w:rPr>
        <w:t>гематопоэтической</w:t>
      </w:r>
      <w:proofErr w:type="spellEnd"/>
      <w:r w:rsidRPr="00F63FFF">
        <w:rPr>
          <w:rFonts w:ascii="Times New Roman" w:hAnsi="Times New Roman"/>
          <w:iCs/>
          <w:sz w:val="24"/>
          <w:szCs w:val="24"/>
        </w:rPr>
        <w:t xml:space="preserve"> системы у самок мышей при внутрибрюшинном введении 3 раза в неделю в течение 52 недель. </w:t>
      </w:r>
      <w:r w:rsidRPr="00F63FFF">
        <w:rPr>
          <w:rFonts w:ascii="Times New Roman" w:hAnsi="Times New Roman"/>
          <w:sz w:val="24"/>
          <w:szCs w:val="24"/>
        </w:rPr>
        <w:t xml:space="preserve">Повышение частоты опухолей лимфоретикулярной системы, легких, молочной железы и кожи отмечалось у мышей, получавших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при внутрибрюшинном введении в течение 50 недель. Результаты исследований на крысах выявили увеличенный риск развития опухолей яичек. В исследованиях раннего эмбриогенеза у мышей с частотой возникновения 44 % наблюдалась внутриутробная смерть эмбрионов (повышение резорбции) при однократном внутрибрюшинном введении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в период органогенеза. Кроме того, обнаруживались и пороки развития головного мозга у мышей, получавших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во время или до закрытия твердого неба.</w:t>
      </w:r>
    </w:p>
    <w:p w14:paraId="1951B69B" w14:textId="40D177A8" w:rsidR="00F177F5" w:rsidRPr="00F63FFF" w:rsidRDefault="00F177F5" w:rsidP="00F17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hAnsi="Times New Roman"/>
          <w:sz w:val="24"/>
          <w:szCs w:val="24"/>
        </w:rPr>
        <w:t xml:space="preserve">У крыс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, вводимый до имплантации, не вызывал развития нежелательных явлений, но оказывал выраженное </w:t>
      </w:r>
      <w:proofErr w:type="spellStart"/>
      <w:r w:rsidRPr="00F63FFF">
        <w:rPr>
          <w:rFonts w:ascii="Times New Roman" w:hAnsi="Times New Roman"/>
          <w:sz w:val="24"/>
          <w:szCs w:val="24"/>
        </w:rPr>
        <w:t>эмбриотоксическое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действие при введении во время органогенеза. Пороки эмбрионального развития в период органогенеза у крыс включали: аномалии развития ЦНС (</w:t>
      </w:r>
      <w:proofErr w:type="spellStart"/>
      <w:r w:rsidRPr="00F63FFF">
        <w:rPr>
          <w:rFonts w:ascii="Times New Roman" w:hAnsi="Times New Roman"/>
          <w:sz w:val="24"/>
          <w:szCs w:val="24"/>
        </w:rPr>
        <w:t>экзенцефалия</w:t>
      </w:r>
      <w:proofErr w:type="spellEnd"/>
      <w:r w:rsidRPr="00F63FFF">
        <w:rPr>
          <w:rFonts w:ascii="Times New Roman" w:hAnsi="Times New Roman"/>
          <w:sz w:val="24"/>
          <w:szCs w:val="24"/>
        </w:rPr>
        <w:t>/</w:t>
      </w:r>
      <w:proofErr w:type="spellStart"/>
      <w:r w:rsidRPr="00F63FFF">
        <w:rPr>
          <w:rFonts w:ascii="Times New Roman" w:hAnsi="Times New Roman"/>
          <w:sz w:val="24"/>
          <w:szCs w:val="24"/>
        </w:rPr>
        <w:t>цефалоцеле</w:t>
      </w:r>
      <w:proofErr w:type="spellEnd"/>
      <w:r w:rsidRPr="00F63FFF">
        <w:rPr>
          <w:rFonts w:ascii="Times New Roman" w:hAnsi="Times New Roman"/>
          <w:sz w:val="24"/>
          <w:szCs w:val="24"/>
        </w:rPr>
        <w:t>), пороки развития конечностей (</w:t>
      </w:r>
      <w:proofErr w:type="spellStart"/>
      <w:r w:rsidRPr="00F63FFF">
        <w:rPr>
          <w:rFonts w:ascii="Times New Roman" w:hAnsi="Times New Roman"/>
          <w:sz w:val="24"/>
          <w:szCs w:val="24"/>
        </w:rPr>
        <w:t>микромелия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, врожденная косолапость, синдактилия, </w:t>
      </w:r>
      <w:proofErr w:type="spellStart"/>
      <w:r w:rsidRPr="00F63FFF">
        <w:rPr>
          <w:rFonts w:ascii="Times New Roman" w:hAnsi="Times New Roman"/>
          <w:sz w:val="24"/>
          <w:szCs w:val="24"/>
        </w:rPr>
        <w:t>олигодактилия</w:t>
      </w:r>
      <w:proofErr w:type="spellEnd"/>
      <w:r w:rsidRPr="00F63FFF">
        <w:rPr>
          <w:rFonts w:ascii="Times New Roman" w:hAnsi="Times New Roman"/>
          <w:sz w:val="24"/>
          <w:szCs w:val="24"/>
        </w:rPr>
        <w:t>) и другие (</w:t>
      </w:r>
      <w:proofErr w:type="spellStart"/>
      <w:r w:rsidRPr="00F63FFF">
        <w:rPr>
          <w:rFonts w:ascii="Times New Roman" w:hAnsi="Times New Roman"/>
          <w:sz w:val="24"/>
          <w:szCs w:val="24"/>
        </w:rPr>
        <w:t>микрофтальмия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3FFF">
        <w:rPr>
          <w:rFonts w:ascii="Times New Roman" w:hAnsi="Times New Roman"/>
          <w:sz w:val="24"/>
          <w:szCs w:val="24"/>
        </w:rPr>
        <w:t>микрогнатия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3FFF">
        <w:rPr>
          <w:rFonts w:ascii="Times New Roman" w:hAnsi="Times New Roman"/>
          <w:sz w:val="24"/>
          <w:szCs w:val="24"/>
        </w:rPr>
        <w:t>гастрошизис</w:t>
      </w:r>
      <w:proofErr w:type="spellEnd"/>
      <w:r w:rsidRPr="00F63FFF">
        <w:rPr>
          <w:rFonts w:ascii="Times New Roman" w:hAnsi="Times New Roman"/>
          <w:sz w:val="24"/>
          <w:szCs w:val="24"/>
        </w:rPr>
        <w:t>, отек и дефекты ребер).</w:t>
      </w:r>
    </w:p>
    <w:p w14:paraId="6ED720B0" w14:textId="77777777" w:rsidR="00F177F5" w:rsidRPr="00F63FFF" w:rsidRDefault="00F177F5" w:rsidP="00F17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hAnsi="Times New Roman"/>
          <w:sz w:val="24"/>
          <w:szCs w:val="24"/>
        </w:rPr>
        <w:t xml:space="preserve">Введение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hAnsi="Times New Roman"/>
          <w:sz w:val="24"/>
          <w:szCs w:val="24"/>
        </w:rPr>
        <w:t xml:space="preserve"> самцам мышей до спаривания с самками, не получавшими </w:t>
      </w:r>
      <w:proofErr w:type="spellStart"/>
      <w:r w:rsidRPr="00F63FFF">
        <w:rPr>
          <w:rFonts w:ascii="Times New Roman" w:hAnsi="Times New Roman"/>
          <w:sz w:val="24"/>
          <w:szCs w:val="24"/>
        </w:rPr>
        <w:t>азацитидин</w:t>
      </w:r>
      <w:proofErr w:type="spellEnd"/>
      <w:r w:rsidRPr="00F63FFF">
        <w:rPr>
          <w:rFonts w:ascii="Times New Roman" w:hAnsi="Times New Roman"/>
          <w:sz w:val="24"/>
          <w:szCs w:val="24"/>
        </w:rPr>
        <w:t>, приводило к снижению фертильности и последующей потере потомства в период эмбриогенеза и постнатального развития.</w:t>
      </w:r>
    </w:p>
    <w:p w14:paraId="4E0DEB9C" w14:textId="77C3CE11" w:rsidR="00F177F5" w:rsidRPr="00F63FFF" w:rsidRDefault="00F177F5" w:rsidP="00F17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hAnsi="Times New Roman"/>
          <w:sz w:val="24"/>
          <w:szCs w:val="24"/>
        </w:rPr>
        <w:t>Введение препарата самцам крыс приводило к снижению веса яичек и придатков яичек, уменьшению числа сперматозоидов, частоты наступления беременности, увеличению количества аномальных эмбрионов и гибели эмбрионов у спариваемых самок (см.</w:t>
      </w:r>
      <w:r w:rsidRPr="00F63FF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 4.</w:t>
      </w:r>
      <w:r w:rsidR="004D56F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63FFF">
        <w:rPr>
          <w:rFonts w:ascii="Times New Roman" w:hAnsi="Times New Roman"/>
          <w:sz w:val="24"/>
          <w:szCs w:val="24"/>
        </w:rPr>
        <w:t>).</w:t>
      </w:r>
    </w:p>
    <w:p w14:paraId="5763E734" w14:textId="77777777" w:rsidR="00F177F5" w:rsidRPr="00F63FFF" w:rsidRDefault="00F177F5" w:rsidP="002053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C6A3652" w14:textId="6A68F3F5" w:rsidR="00DF3381" w:rsidRPr="00F63FFF" w:rsidRDefault="00DF3381" w:rsidP="0020532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63FFF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11B2EFA3" w14:textId="77777777" w:rsidR="00DF3381" w:rsidRPr="00F63FFF" w:rsidRDefault="00DF3381" w:rsidP="0020532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63FFF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bookmarkStart w:id="26" w:name="_Hlk118190627"/>
      <w:r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  <w:bookmarkEnd w:id="26"/>
    </w:p>
    <w:p w14:paraId="69256140" w14:textId="77777777" w:rsidR="00E0733A" w:rsidRPr="00E0733A" w:rsidRDefault="00E0733A" w:rsidP="00E073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733A">
        <w:rPr>
          <w:rFonts w:ascii="Times New Roman" w:hAnsi="Times New Roman"/>
          <w:sz w:val="24"/>
          <w:szCs w:val="24"/>
        </w:rPr>
        <w:t>Маннитол (</w:t>
      </w:r>
      <w:proofErr w:type="spellStart"/>
      <w:r w:rsidRPr="00E0733A">
        <w:rPr>
          <w:rFonts w:ascii="Times New Roman" w:hAnsi="Times New Roman"/>
          <w:sz w:val="24"/>
          <w:szCs w:val="24"/>
        </w:rPr>
        <w:t>Pearlitol</w:t>
      </w:r>
      <w:proofErr w:type="spellEnd"/>
      <w:r w:rsidRPr="00E0733A">
        <w:rPr>
          <w:rFonts w:ascii="Times New Roman" w:hAnsi="Times New Roman"/>
          <w:sz w:val="24"/>
          <w:szCs w:val="24"/>
        </w:rPr>
        <w:t xml:space="preserve"> PF) (</w:t>
      </w:r>
      <w:proofErr w:type="spellStart"/>
      <w:r w:rsidRPr="00E0733A">
        <w:rPr>
          <w:rFonts w:ascii="Times New Roman" w:hAnsi="Times New Roman"/>
          <w:sz w:val="24"/>
          <w:szCs w:val="24"/>
        </w:rPr>
        <w:t>апирогенный</w:t>
      </w:r>
      <w:proofErr w:type="spellEnd"/>
      <w:r w:rsidRPr="00E0733A">
        <w:rPr>
          <w:rFonts w:ascii="Times New Roman" w:hAnsi="Times New Roman"/>
          <w:sz w:val="24"/>
          <w:szCs w:val="24"/>
        </w:rPr>
        <w:t xml:space="preserve"> инъекционный сорт)</w:t>
      </w:r>
    </w:p>
    <w:p w14:paraId="5A10CC82" w14:textId="77777777" w:rsidR="00E0733A" w:rsidRPr="00E0733A" w:rsidRDefault="00E0733A" w:rsidP="00E073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733A">
        <w:rPr>
          <w:rFonts w:ascii="Times New Roman" w:hAnsi="Times New Roman"/>
          <w:sz w:val="24"/>
          <w:szCs w:val="24"/>
        </w:rPr>
        <w:t>Вода для инъекций</w:t>
      </w:r>
    </w:p>
    <w:p w14:paraId="70F8B52E" w14:textId="1749278B" w:rsidR="00C35DC7" w:rsidRDefault="00E0733A" w:rsidP="00E073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733A">
        <w:rPr>
          <w:rFonts w:ascii="Times New Roman" w:hAnsi="Times New Roman"/>
          <w:sz w:val="24"/>
          <w:szCs w:val="24"/>
        </w:rPr>
        <w:t>Азот</w:t>
      </w:r>
    </w:p>
    <w:p w14:paraId="6C7ECC5F" w14:textId="77777777" w:rsidR="00E0733A" w:rsidRPr="00F63FFF" w:rsidRDefault="00E0733A" w:rsidP="00E073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D264A05" w14:textId="56114E61" w:rsidR="00467E5B" w:rsidRPr="00F63FFF" w:rsidRDefault="00DF3381" w:rsidP="0020532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63FFF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="00467E5B"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50F29222" w14:textId="40F58E83" w:rsidR="00055A7A" w:rsidRPr="00F63FFF" w:rsidRDefault="00B42119" w:rsidP="0020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>Данный лекарственный препарат не следует смешивать с другими лекарственными препаратами, за исключением упомяну</w:t>
      </w:r>
      <w:r w:rsidR="00467E5B" w:rsidRPr="00F63FFF">
        <w:rPr>
          <w:rFonts w:ascii="Times New Roman" w:eastAsia="Times New Roman" w:hAnsi="Times New Roman"/>
          <w:sz w:val="24"/>
          <w:szCs w:val="24"/>
        </w:rPr>
        <w:t xml:space="preserve">тых в разделе </w:t>
      </w:r>
      <w:r w:rsidR="00E0733A">
        <w:rPr>
          <w:rFonts w:ascii="Times New Roman" w:eastAsia="Times New Roman" w:hAnsi="Times New Roman"/>
          <w:sz w:val="24"/>
          <w:szCs w:val="24"/>
        </w:rPr>
        <w:t>6.6.</w:t>
      </w:r>
    </w:p>
    <w:p w14:paraId="3D601F6A" w14:textId="77777777" w:rsidR="00C35DC7" w:rsidRPr="00F63FFF" w:rsidRDefault="00C35DC7" w:rsidP="002053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14:paraId="04DD06E9" w14:textId="104B8CAA" w:rsidR="009128A3" w:rsidRPr="00F63FFF" w:rsidRDefault="009128A3" w:rsidP="00C35DC7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F63FFF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F63FF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F63FFF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2E5EC2FB" w14:textId="7613B2A0" w:rsidR="00BE1A57" w:rsidRPr="00F63FFF" w:rsidRDefault="00E0733A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E1A57" w:rsidRPr="00F63FFF">
        <w:rPr>
          <w:rFonts w:ascii="Times New Roman" w:hAnsi="Times New Roman"/>
          <w:sz w:val="24"/>
          <w:szCs w:val="24"/>
        </w:rPr>
        <w:t xml:space="preserve"> года.</w:t>
      </w:r>
    </w:p>
    <w:p w14:paraId="046AE2B7" w14:textId="77777777" w:rsidR="00467E5B" w:rsidRPr="00F63FFF" w:rsidRDefault="00EE40A8" w:rsidP="00205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hAnsi="Times New Roman"/>
          <w:sz w:val="24"/>
          <w:szCs w:val="24"/>
        </w:rPr>
        <w:t>Не применять по истечении срока годности.</w:t>
      </w:r>
    </w:p>
    <w:p w14:paraId="79308E62" w14:textId="77777777" w:rsidR="00C35DC7" w:rsidRPr="00F63FFF" w:rsidRDefault="00C35DC7" w:rsidP="00C35DC7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883D8E" w14:textId="254F95BF" w:rsidR="00467E5B" w:rsidRPr="00F63FFF" w:rsidRDefault="00632571" w:rsidP="00C35DC7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F63FFF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мер</w:t>
      </w:r>
      <w:bookmarkStart w:id="27" w:name="_Hlk20927442"/>
      <w:r w:rsidR="00467E5B"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>ы предосторожности при хранении</w:t>
      </w:r>
    </w:p>
    <w:bookmarkEnd w:id="27"/>
    <w:p w14:paraId="0C62AA2D" w14:textId="77777777" w:rsidR="00E0733A" w:rsidRPr="00524A5A" w:rsidRDefault="00E0733A" w:rsidP="00E073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4A5A">
        <w:rPr>
          <w:rFonts w:ascii="Times New Roman" w:hAnsi="Times New Roman"/>
          <w:color w:val="000000"/>
          <w:sz w:val="24"/>
          <w:szCs w:val="24"/>
        </w:rPr>
        <w:t xml:space="preserve">Хранить при температуре не выше 25 ºС. </w:t>
      </w:r>
    </w:p>
    <w:p w14:paraId="402734F3" w14:textId="77777777" w:rsidR="00E0733A" w:rsidRPr="00524A5A" w:rsidRDefault="00E0733A" w:rsidP="00E073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524A5A">
        <w:rPr>
          <w:rFonts w:ascii="Times New Roman" w:hAnsi="Times New Roman"/>
          <w:color w:val="000000"/>
          <w:spacing w:val="2"/>
          <w:sz w:val="24"/>
          <w:szCs w:val="24"/>
        </w:rPr>
        <w:t>Хранить в недоступном для детей месте!</w:t>
      </w:r>
    </w:p>
    <w:p w14:paraId="02AB1BB1" w14:textId="77777777" w:rsidR="00C35DC7" w:rsidRPr="00F63FFF" w:rsidRDefault="00C35DC7" w:rsidP="002053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51287460" w14:textId="56D3492D" w:rsidR="00467E5B" w:rsidRPr="00F63FFF" w:rsidRDefault="00EC480E" w:rsidP="0020532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63FFF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F63FF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bookmarkStart w:id="28" w:name="_Hlk20927403"/>
      <w:r w:rsidR="0020532D"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</w:p>
    <w:bookmarkEnd w:id="28"/>
    <w:p w14:paraId="46724D9B" w14:textId="77777777" w:rsidR="00E0733A" w:rsidRPr="00E0733A" w:rsidRDefault="00E0733A" w:rsidP="00E07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0733A">
        <w:rPr>
          <w:rFonts w:ascii="Times New Roman" w:hAnsi="Times New Roman"/>
          <w:color w:val="000000"/>
          <w:sz w:val="24"/>
          <w:szCs w:val="24"/>
        </w:rPr>
        <w:t>Препарат помещают в прозрачный бесцветный флакон вместимостью 50 мл, укупоренный резиновой пробкой с двойными прорезями, обжатый алюминиевым кольцом и запечатанный полипропиленовой крышкой типа «</w:t>
      </w:r>
      <w:proofErr w:type="spellStart"/>
      <w:r w:rsidRPr="00E0733A">
        <w:rPr>
          <w:rFonts w:ascii="Times New Roman" w:hAnsi="Times New Roman"/>
          <w:color w:val="000000"/>
          <w:sz w:val="24"/>
          <w:szCs w:val="24"/>
        </w:rPr>
        <w:t>flip-off</w:t>
      </w:r>
      <w:proofErr w:type="spellEnd"/>
      <w:r w:rsidRPr="00E0733A">
        <w:rPr>
          <w:rFonts w:ascii="Times New Roman" w:hAnsi="Times New Roman"/>
          <w:color w:val="000000"/>
          <w:sz w:val="24"/>
          <w:szCs w:val="24"/>
        </w:rPr>
        <w:t>».</w:t>
      </w:r>
    </w:p>
    <w:p w14:paraId="2A18105F" w14:textId="77777777" w:rsidR="00E0733A" w:rsidRPr="00E0733A" w:rsidRDefault="00E0733A" w:rsidP="00E07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0733A">
        <w:rPr>
          <w:rFonts w:ascii="Times New Roman" w:hAnsi="Times New Roman"/>
          <w:color w:val="000000"/>
          <w:sz w:val="24"/>
          <w:szCs w:val="24"/>
        </w:rPr>
        <w:t xml:space="preserve">На флакон клеят этикетку самоклеящуюся. </w:t>
      </w:r>
    </w:p>
    <w:p w14:paraId="7838D6EA" w14:textId="77777777" w:rsidR="00E0733A" w:rsidRPr="00E0733A" w:rsidRDefault="00E0733A" w:rsidP="00E07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0733A">
        <w:rPr>
          <w:rFonts w:ascii="Times New Roman" w:hAnsi="Times New Roman"/>
          <w:color w:val="000000"/>
          <w:sz w:val="24"/>
          <w:szCs w:val="24"/>
        </w:rPr>
        <w:t>По 1 флакону вместе с инструкцией по медицинскому применению на казахском и русском языках вкладывают в пачку из картона.</w:t>
      </w:r>
    </w:p>
    <w:p w14:paraId="5C0AA1C0" w14:textId="77777777" w:rsidR="00C35DC7" w:rsidRPr="00F63FFF" w:rsidRDefault="00C35DC7" w:rsidP="00E94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25D1D62" w14:textId="79520EB1" w:rsidR="00B90A1E" w:rsidRPr="00F63FFF" w:rsidRDefault="00B90A1E" w:rsidP="00E94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63FFF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1EE1FD4E" w14:textId="77777777" w:rsidR="00954A84" w:rsidRPr="00F63FFF" w:rsidRDefault="00954A84" w:rsidP="00954A84">
      <w:pPr>
        <w:spacing w:after="0" w:line="240" w:lineRule="auto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63FFF">
        <w:rPr>
          <w:rFonts w:ascii="Times New Roman" w:eastAsia="Times New Roman" w:hAnsi="Times New Roman"/>
          <w:b/>
          <w:i/>
          <w:iCs/>
          <w:sz w:val="24"/>
          <w:szCs w:val="24"/>
        </w:rPr>
        <w:t>Рекомендации по приготовлению раствора и проведению инъекций</w:t>
      </w:r>
    </w:p>
    <w:p w14:paraId="5EBF5A72" w14:textId="77777777" w:rsidR="00954A84" w:rsidRPr="00F63FFF" w:rsidRDefault="00954A84" w:rsidP="00954A84">
      <w:pPr>
        <w:spacing w:after="0" w:line="240" w:lineRule="auto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63FFF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Рекомендации по технике безопасности при обращении с препаратом </w:t>
      </w:r>
    </w:p>
    <w:p w14:paraId="6DFDC1B2" w14:textId="77777777" w:rsidR="00954A84" w:rsidRPr="00F63FFF" w:rsidRDefault="00954A84" w:rsidP="00954A84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Препарат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– цитотоксическое лекарственное средство, как и с другими токсическими веществами, при обращении и приготовлении суспензии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следует соблюдать осторожность. Необходимо соблюдать локальные правила для противоопухолевых препаратов по обращению и утилизации.</w:t>
      </w:r>
    </w:p>
    <w:p w14:paraId="3AFCB44A" w14:textId="77777777" w:rsidR="00954A84" w:rsidRPr="00F63FFF" w:rsidRDefault="00954A84" w:rsidP="00954A84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При контакте восстановленного раствора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 кожей следует немедленно тщательно промыть ее с мылом и водой. При контакте со слизистыми оболочками – тщательно промыть их водой.</w:t>
      </w:r>
    </w:p>
    <w:p w14:paraId="0B9D40A5" w14:textId="77777777" w:rsidR="00954A84" w:rsidRPr="00F63FFF" w:rsidRDefault="00954A84" w:rsidP="00954A84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63FFF">
        <w:rPr>
          <w:rFonts w:ascii="Times New Roman" w:eastAsia="Times New Roman" w:hAnsi="Times New Roman"/>
          <w:i/>
          <w:sz w:val="24"/>
          <w:szCs w:val="24"/>
          <w:u w:val="single"/>
        </w:rPr>
        <w:t>Приготовление восстановленного раствора</w:t>
      </w:r>
    </w:p>
    <w:p w14:paraId="2AC5B18A" w14:textId="77777777" w:rsidR="00954A84" w:rsidRPr="00F63FFF" w:rsidRDefault="00954A84" w:rsidP="00954A84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Препарат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следует разводить водой для инъекций. Срок хранения восстановленного препарата можно увеличить, если разводить его охлажденной (от 2 до 8 °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C</w:t>
      </w:r>
      <w:r w:rsidRPr="00F63FFF">
        <w:rPr>
          <w:rFonts w:ascii="Times New Roman" w:eastAsia="Times New Roman" w:hAnsi="Times New Roman"/>
          <w:sz w:val="24"/>
          <w:szCs w:val="24"/>
        </w:rPr>
        <w:t>) водой для инъекций. Подробная информация о хранении восстановленного препарата представлена ниже.</w:t>
      </w:r>
    </w:p>
    <w:p w14:paraId="7D38CC6D" w14:textId="77777777" w:rsidR="00954A84" w:rsidRPr="00F63FFF" w:rsidRDefault="00954A84" w:rsidP="00E0733A">
      <w:pPr>
        <w:keepLines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Подготовить: флакон(ы) с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азацитидином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>, флакон(ы) с водой для инъекций, нестерильные хирургические перчатки, спиртовые салфетки, шприц(ы) для инъекций на 5 мл с иглой(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ами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070774E0" w14:textId="77777777" w:rsidR="00954A84" w:rsidRPr="00F63FFF" w:rsidRDefault="00954A84" w:rsidP="00E0733A">
      <w:pPr>
        <w:keepLines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Набрать в шприц 4 мл воды для инъекций, убедиться в отсутствии в нем пузырьков воздуха. </w:t>
      </w:r>
    </w:p>
    <w:p w14:paraId="441B71D8" w14:textId="77777777" w:rsidR="00954A84" w:rsidRPr="00F63FFF" w:rsidRDefault="00954A84" w:rsidP="00E0733A">
      <w:pPr>
        <w:keepLines/>
        <w:numPr>
          <w:ilvl w:val="0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Проткнуть иглой шприца, содержащего 4 мл воды для инъекций, резиновую пробку флакона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и ввести воду для инъекций во флакон. </w:t>
      </w:r>
    </w:p>
    <w:p w14:paraId="6BEB3558" w14:textId="77777777" w:rsidR="00954A84" w:rsidRPr="00F63FFF" w:rsidRDefault="00954A84" w:rsidP="00E0733A">
      <w:pPr>
        <w:keepLines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После удаления шприца и иглы энергично встряхнуть флакон до получения однородной мутной суспензии. После разведения каждый мл суспензии содержит 25 мг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(100 мг/4 мл). Восстановленный препарат должен представлять собой однородную мутную суспензию, не содержащую крупных частиц. </w:t>
      </w:r>
      <w:r w:rsidRPr="00F63FFF">
        <w:rPr>
          <w:rFonts w:ascii="Times New Roman" w:eastAsia="Times New Roman" w:hAnsi="Times New Roman"/>
          <w:sz w:val="24"/>
          <w:szCs w:val="24"/>
          <w:u w:val="single"/>
        </w:rPr>
        <w:t>Не использовать препарат, если он содержит крупные частицы или сгустки. Не фильтровать суспензию после восстановления, так как это может привести к удалению активного вещества. Следует учесть, что некоторые адаптеры, иглы и закрытые системы снабжены встроенными фильтрами. Такие системы не должны использоваться для введения восстановленного препарата.</w:t>
      </w:r>
    </w:p>
    <w:p w14:paraId="396A74EB" w14:textId="77777777" w:rsidR="00954A84" w:rsidRPr="00F63FFF" w:rsidRDefault="00954A84" w:rsidP="00E0733A">
      <w:pPr>
        <w:keepLines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Протереть резиновую пробку и вставить во флакон новый шприц с иглой. Затем перевернуть флакон вверх дном, убедившись, что кончик иглы находится ниже уровня жидкости. Аккуратно оттянуть назад поршень шприца и набрать в шприц количество препарата, необходимое для получения точной дозы, убедившись в отсутствии пузырьков воздуха в шприце. Вытащить из флакона шприц с иглой, иглу выбросить. </w:t>
      </w:r>
    </w:p>
    <w:p w14:paraId="44143044" w14:textId="77777777" w:rsidR="00954A84" w:rsidRPr="00F63FFF" w:rsidRDefault="00954A84" w:rsidP="00E0733A">
      <w:pPr>
        <w:keepLines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lastRenderedPageBreak/>
        <w:t>Плотно закрепить на шприце новую иглу для подкожных инъекций (рекомендуется игла 25 калибра). Иглу не следует прочищать перед инъекцией, чтобы снизить частоту развития местных реакций в области инъекции.</w:t>
      </w:r>
    </w:p>
    <w:p w14:paraId="558C72D3" w14:textId="77777777" w:rsidR="00954A84" w:rsidRPr="00F63FFF" w:rsidRDefault="00954A84" w:rsidP="00E0733A">
      <w:pPr>
        <w:keepLines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>Если требуется введение более одного флакона, следует повторно выполнить</w:t>
      </w:r>
      <w:r w:rsidRPr="00F63FFF" w:rsidDel="00857AE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sz w:val="24"/>
          <w:szCs w:val="24"/>
        </w:rPr>
        <w:t>все указанные выше этапы приготовления суспензии.  В тех случаях, когда для получения необходимой дозы нужно более одного флакона с препаратом, доза должна быть разделена на две равные части (например, если доза 150 мг = 6 мл, то набирают 2 шприца по 3 мл в каждом). Из-за того, что на стенках флакона и в игле остается часть препарата, извлечь полностью весь объем суспензии из флакона не представляется возможным.</w:t>
      </w:r>
    </w:p>
    <w:p w14:paraId="081DE57E" w14:textId="77777777" w:rsidR="00954A84" w:rsidRPr="00F63FFF" w:rsidRDefault="00954A84" w:rsidP="00E0733A">
      <w:pPr>
        <w:keepLines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>Непосредственно перед введением необходимо повторно перевести содержимое шприца в состояние суспензии. Перед введением дайте шприцу достичь температуры 20</w:t>
      </w:r>
      <w:r w:rsidRPr="00F63FFF">
        <w:rPr>
          <w:rFonts w:ascii="Times New Roman" w:eastAsia="Times New Roman" w:hAnsi="Times New Roman"/>
          <w:sz w:val="24"/>
          <w:szCs w:val="24"/>
        </w:rPr>
        <w:noBreakHyphen/>
        <w:t>25°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C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(но не более, чем в течение 30 минут). Если время до введения суспензии превысило 30 минут, приготовленная доза должна быть уничтожена. Следует приготовить новую дозу препарата. Чтобы </w:t>
      </w:r>
      <w:proofErr w:type="spellStart"/>
      <w:r w:rsidRPr="00F63FFF">
        <w:rPr>
          <w:rFonts w:ascii="Times New Roman" w:eastAsia="Times New Roman" w:hAnsi="Times New Roman"/>
          <w:sz w:val="24"/>
          <w:szCs w:val="24"/>
        </w:rPr>
        <w:t>ресуспендировать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препарат, энергично катайте шприц между ладонями до образования однородной суспензии белого цвета. </w:t>
      </w:r>
      <w:r w:rsidRPr="00F63FFF">
        <w:rPr>
          <w:rFonts w:ascii="Times New Roman" w:eastAsia="Times New Roman" w:hAnsi="Times New Roman"/>
          <w:sz w:val="24"/>
          <w:szCs w:val="24"/>
          <w:u w:val="single"/>
        </w:rPr>
        <w:t>В случае присутствия в суспензии крупных частиц или сгустков восстановленный препарат следует уничтожить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DF9C845" w14:textId="77777777" w:rsidR="00954A84" w:rsidRPr="00F63FFF" w:rsidRDefault="00954A84" w:rsidP="00954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i/>
          <w:sz w:val="24"/>
          <w:szCs w:val="24"/>
        </w:rPr>
        <w:t>После приготовления восстановленного раствора</w:t>
      </w:r>
    </w:p>
    <w:p w14:paraId="7284F36D" w14:textId="77777777" w:rsidR="00954A84" w:rsidRPr="00F63FFF" w:rsidRDefault="00954A84" w:rsidP="00954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 xml:space="preserve">При разведении препарата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неохлажденной водой для инъекций, разведенный лекарственный препарат остается химически и физически стабильным в течение 45 минут при температуре 25 °С и в течение 8 часов при температуре от 2 до 8 °С. Срок хранения разведенного препарата может быть продлен путем разведения его водой для инъекций, которая хранилась в холодильнике (с температурой от 2 до 8 °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C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). При разведении препарата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Азапан</w:t>
      </w:r>
      <w:proofErr w:type="spellEnd"/>
      <w:r w:rsidRPr="00F63FFF">
        <w:rPr>
          <w:rFonts w:ascii="Times New Roman" w:eastAsia="Times New Roman" w:hAnsi="Times New Roman"/>
          <w:sz w:val="24"/>
          <w:szCs w:val="24"/>
        </w:rPr>
        <w:t xml:space="preserve"> предварительно охлажденной (от 2 до 8 °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C</w:t>
      </w:r>
      <w:r w:rsidRPr="00F63FFF">
        <w:rPr>
          <w:rFonts w:ascii="Times New Roman" w:eastAsia="Times New Roman" w:hAnsi="Times New Roman"/>
          <w:sz w:val="24"/>
          <w:szCs w:val="24"/>
        </w:rPr>
        <w:t>) водой для инъекций разведенный лекарственный препарат остается химически и физически стабильным в течение 22 часов при температуре от 2 до 8 °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C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17BA03E" w14:textId="77777777" w:rsidR="00954A84" w:rsidRDefault="00954A84" w:rsidP="00954A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FFF">
        <w:rPr>
          <w:rFonts w:ascii="Times New Roman" w:eastAsia="Times New Roman" w:hAnsi="Times New Roman"/>
          <w:sz w:val="24"/>
          <w:szCs w:val="24"/>
        </w:rPr>
        <w:t>С микробиологической точки зрения разведенный продукт следует использовать немедленно. Если препарат не используется сразу, ответственность за сроки и условия хранения возлагается на пользователя, но, в любом случае, препарат следует хранить не более 8 часов при температуре от 2 до 8 °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C</w:t>
      </w:r>
      <w:r w:rsidRPr="00F63FFF">
        <w:rPr>
          <w:rFonts w:ascii="Times New Roman" w:eastAsia="Times New Roman" w:hAnsi="Times New Roman"/>
          <w:sz w:val="24"/>
          <w:szCs w:val="24"/>
        </w:rPr>
        <w:t xml:space="preserve"> при разведении неохлажденной водой для инъекций или не более 22 часов при разведении охлажденной (от 2 до</w:t>
      </w:r>
      <w:r w:rsidRPr="00F63FFF" w:rsidDel="00CE03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3FFF">
        <w:rPr>
          <w:rFonts w:ascii="Times New Roman" w:eastAsia="Times New Roman" w:hAnsi="Times New Roman"/>
          <w:sz w:val="24"/>
          <w:szCs w:val="24"/>
        </w:rPr>
        <w:t>8 °</w:t>
      </w:r>
      <w:r w:rsidRPr="00F63FFF">
        <w:rPr>
          <w:rFonts w:ascii="Times New Roman" w:eastAsia="Times New Roman" w:hAnsi="Times New Roman"/>
          <w:sz w:val="24"/>
          <w:szCs w:val="24"/>
          <w:lang w:val="en-GB"/>
        </w:rPr>
        <w:t>C</w:t>
      </w:r>
      <w:r w:rsidRPr="00F63FFF">
        <w:rPr>
          <w:rFonts w:ascii="Times New Roman" w:eastAsia="Times New Roman" w:hAnsi="Times New Roman"/>
          <w:sz w:val="24"/>
          <w:szCs w:val="24"/>
        </w:rPr>
        <w:t>) водой для инъекций.</w:t>
      </w:r>
    </w:p>
    <w:p w14:paraId="2EBF7046" w14:textId="77777777" w:rsidR="00954A84" w:rsidRPr="00B603BE" w:rsidRDefault="00954A84" w:rsidP="00954A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B603BE">
        <w:rPr>
          <w:rFonts w:ascii="Times New Roman" w:eastAsia="Times New Roman" w:hAnsi="Times New Roman"/>
          <w:sz w:val="24"/>
          <w:szCs w:val="24"/>
          <w:u w:val="single"/>
        </w:rPr>
        <w:t>Расчёт индивидуальной дозы</w:t>
      </w:r>
    </w:p>
    <w:p w14:paraId="0142E9C0" w14:textId="77777777" w:rsidR="00954A84" w:rsidRPr="00B603BE" w:rsidRDefault="00954A84" w:rsidP="00954A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03BE">
        <w:rPr>
          <w:rFonts w:ascii="Times New Roman" w:eastAsia="Times New Roman" w:hAnsi="Times New Roman"/>
          <w:sz w:val="24"/>
          <w:szCs w:val="24"/>
        </w:rPr>
        <w:t>Общая доза препарата, рассчитываемая в зависимости от площади поверхности тела (ППТ), определяется по следующей формуле:</w:t>
      </w:r>
    </w:p>
    <w:p w14:paraId="7F0E26B0" w14:textId="77777777" w:rsidR="00954A84" w:rsidRDefault="00954A84" w:rsidP="00954A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03BE">
        <w:rPr>
          <w:rFonts w:ascii="Times New Roman" w:eastAsia="Times New Roman" w:hAnsi="Times New Roman"/>
          <w:sz w:val="24"/>
          <w:szCs w:val="24"/>
        </w:rPr>
        <w:t>Общая доза (мг) = Доза (мг/м²) × Площадь поверхности тела (м²)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CEF3A21" w14:textId="77777777" w:rsidR="00954A84" w:rsidRPr="00954A84" w:rsidRDefault="00954A84" w:rsidP="00954A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4A84">
        <w:rPr>
          <w:rFonts w:ascii="Times New Roman" w:eastAsia="Times New Roman" w:hAnsi="Times New Roman"/>
          <w:sz w:val="24"/>
          <w:szCs w:val="24"/>
        </w:rPr>
        <w:t xml:space="preserve">Следующая таблица приведена только в качестве примера, демонстрирующего, как рассчитывается индивидуальная доза </w:t>
      </w:r>
      <w:proofErr w:type="spellStart"/>
      <w:r w:rsidRPr="00954A84">
        <w:rPr>
          <w:rFonts w:ascii="Times New Roman" w:eastAsia="Times New Roman" w:hAnsi="Times New Roman"/>
          <w:sz w:val="24"/>
          <w:szCs w:val="24"/>
        </w:rPr>
        <w:t>азацитидина</w:t>
      </w:r>
      <w:proofErr w:type="spellEnd"/>
      <w:r w:rsidRPr="00954A84">
        <w:rPr>
          <w:rFonts w:ascii="Times New Roman" w:eastAsia="Times New Roman" w:hAnsi="Times New Roman"/>
          <w:sz w:val="24"/>
          <w:szCs w:val="24"/>
        </w:rPr>
        <w:t xml:space="preserve"> на основании среднего значения площади поверхности тела (ППТ) — 1,8 м².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1463"/>
        <w:gridCol w:w="2196"/>
        <w:gridCol w:w="2686"/>
      </w:tblGrid>
      <w:tr w:rsidR="00954A84" w:rsidRPr="00954A84" w14:paraId="6E88CEDC" w14:textId="77777777" w:rsidTr="00AB39D8">
        <w:trPr>
          <w:tblHeader/>
          <w:tblCellSpacing w:w="15" w:type="dxa"/>
        </w:trPr>
        <w:tc>
          <w:tcPr>
            <w:tcW w:w="2675" w:type="dxa"/>
            <w:vAlign w:val="center"/>
            <w:hideMark/>
          </w:tcPr>
          <w:p w14:paraId="6095E3AC" w14:textId="77777777" w:rsid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 xml:space="preserve">Доза, мг/м² </w:t>
            </w:r>
          </w:p>
          <w:p w14:paraId="714C1599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954A8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в % от рекомендованной начальной дозы</w:t>
            </w:r>
            <w:r w:rsidRPr="00954A84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33" w:type="dxa"/>
            <w:vAlign w:val="center"/>
            <w:hideMark/>
          </w:tcPr>
          <w:p w14:paraId="0EE57FCD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54A84">
              <w:rPr>
                <w:rFonts w:ascii="Times New Roman" w:hAnsi="Times New Roman"/>
                <w:sz w:val="24"/>
                <w:szCs w:val="24"/>
                <w:u w:val="single"/>
              </w:rPr>
              <w:t>Общая доза при ППТ 1,8 м²</w:t>
            </w:r>
          </w:p>
        </w:tc>
        <w:tc>
          <w:tcPr>
            <w:tcW w:w="0" w:type="auto"/>
            <w:vAlign w:val="center"/>
            <w:hideMark/>
          </w:tcPr>
          <w:p w14:paraId="1564A0A2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54A84">
              <w:rPr>
                <w:rFonts w:ascii="Times New Roman" w:hAnsi="Times New Roman"/>
                <w:sz w:val="24"/>
                <w:szCs w:val="24"/>
                <w:u w:val="single"/>
              </w:rPr>
              <w:t>Необходимое количество флаконов</w:t>
            </w:r>
          </w:p>
        </w:tc>
        <w:tc>
          <w:tcPr>
            <w:tcW w:w="0" w:type="auto"/>
            <w:vAlign w:val="center"/>
            <w:hideMark/>
          </w:tcPr>
          <w:p w14:paraId="5073336D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54A84">
              <w:rPr>
                <w:rFonts w:ascii="Times New Roman" w:hAnsi="Times New Roman"/>
                <w:sz w:val="24"/>
                <w:szCs w:val="24"/>
                <w:u w:val="single"/>
              </w:rPr>
              <w:t>Общий объём восстановленной суспензии</w:t>
            </w:r>
          </w:p>
        </w:tc>
      </w:tr>
      <w:tr w:rsidR="00954A84" w:rsidRPr="00954A84" w14:paraId="3A404E31" w14:textId="77777777" w:rsidTr="00AB39D8">
        <w:trPr>
          <w:tblCellSpacing w:w="15" w:type="dxa"/>
        </w:trPr>
        <w:tc>
          <w:tcPr>
            <w:tcW w:w="2675" w:type="dxa"/>
            <w:vAlign w:val="center"/>
            <w:hideMark/>
          </w:tcPr>
          <w:p w14:paraId="1174CE34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75 мг/м² (100%)</w:t>
            </w:r>
          </w:p>
        </w:tc>
        <w:tc>
          <w:tcPr>
            <w:tcW w:w="1433" w:type="dxa"/>
            <w:vAlign w:val="center"/>
            <w:hideMark/>
          </w:tcPr>
          <w:p w14:paraId="4917532B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135 мг</w:t>
            </w:r>
          </w:p>
        </w:tc>
        <w:tc>
          <w:tcPr>
            <w:tcW w:w="0" w:type="auto"/>
            <w:vAlign w:val="center"/>
            <w:hideMark/>
          </w:tcPr>
          <w:p w14:paraId="1EDE6DE4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2 флакона</w:t>
            </w:r>
          </w:p>
        </w:tc>
        <w:tc>
          <w:tcPr>
            <w:tcW w:w="0" w:type="auto"/>
            <w:vAlign w:val="center"/>
            <w:hideMark/>
          </w:tcPr>
          <w:p w14:paraId="562A926D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5,4 мл</w:t>
            </w:r>
          </w:p>
        </w:tc>
      </w:tr>
      <w:tr w:rsidR="00954A84" w:rsidRPr="00954A84" w14:paraId="45C5C6C7" w14:textId="77777777" w:rsidTr="00AB39D8">
        <w:trPr>
          <w:tblCellSpacing w:w="15" w:type="dxa"/>
        </w:trPr>
        <w:tc>
          <w:tcPr>
            <w:tcW w:w="2675" w:type="dxa"/>
            <w:vAlign w:val="center"/>
            <w:hideMark/>
          </w:tcPr>
          <w:p w14:paraId="50048B89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37,5 мг/м² (50%)</w:t>
            </w:r>
          </w:p>
        </w:tc>
        <w:tc>
          <w:tcPr>
            <w:tcW w:w="1433" w:type="dxa"/>
            <w:vAlign w:val="center"/>
            <w:hideMark/>
          </w:tcPr>
          <w:p w14:paraId="5969E986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67,5 мг</w:t>
            </w:r>
          </w:p>
        </w:tc>
        <w:tc>
          <w:tcPr>
            <w:tcW w:w="0" w:type="auto"/>
            <w:vAlign w:val="center"/>
            <w:hideMark/>
          </w:tcPr>
          <w:p w14:paraId="4F30A2F4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1 флакон</w:t>
            </w:r>
          </w:p>
        </w:tc>
        <w:tc>
          <w:tcPr>
            <w:tcW w:w="0" w:type="auto"/>
            <w:vAlign w:val="center"/>
            <w:hideMark/>
          </w:tcPr>
          <w:p w14:paraId="17E84C5A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2,7 мл</w:t>
            </w:r>
          </w:p>
        </w:tc>
      </w:tr>
      <w:tr w:rsidR="00954A84" w:rsidRPr="00954A84" w14:paraId="4C8F787A" w14:textId="77777777" w:rsidTr="00AB39D8">
        <w:trPr>
          <w:tblCellSpacing w:w="15" w:type="dxa"/>
        </w:trPr>
        <w:tc>
          <w:tcPr>
            <w:tcW w:w="2675" w:type="dxa"/>
            <w:vAlign w:val="center"/>
            <w:hideMark/>
          </w:tcPr>
          <w:p w14:paraId="4F678EF8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25 мг/м² (33%)</w:t>
            </w:r>
          </w:p>
        </w:tc>
        <w:tc>
          <w:tcPr>
            <w:tcW w:w="1433" w:type="dxa"/>
            <w:vAlign w:val="center"/>
            <w:hideMark/>
          </w:tcPr>
          <w:p w14:paraId="52E48F4B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45 мг</w:t>
            </w:r>
          </w:p>
        </w:tc>
        <w:tc>
          <w:tcPr>
            <w:tcW w:w="0" w:type="auto"/>
            <w:vAlign w:val="center"/>
            <w:hideMark/>
          </w:tcPr>
          <w:p w14:paraId="255A09DD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1 флакон</w:t>
            </w:r>
          </w:p>
        </w:tc>
        <w:tc>
          <w:tcPr>
            <w:tcW w:w="0" w:type="auto"/>
            <w:vAlign w:val="center"/>
            <w:hideMark/>
          </w:tcPr>
          <w:p w14:paraId="0A39200E" w14:textId="77777777" w:rsidR="00954A84" w:rsidRPr="00954A84" w:rsidRDefault="00954A84" w:rsidP="00AB3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84">
              <w:rPr>
                <w:rFonts w:ascii="Times New Roman" w:hAnsi="Times New Roman"/>
                <w:sz w:val="24"/>
                <w:szCs w:val="24"/>
              </w:rPr>
              <w:t>1,8 мл</w:t>
            </w:r>
          </w:p>
        </w:tc>
      </w:tr>
    </w:tbl>
    <w:p w14:paraId="370DAD6C" w14:textId="77777777" w:rsidR="00954A84" w:rsidRPr="00954A84" w:rsidRDefault="00954A84" w:rsidP="00954A8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4A84">
        <w:rPr>
          <w:rFonts w:ascii="Times New Roman" w:hAnsi="Times New Roman"/>
          <w:i/>
          <w:iCs/>
          <w:sz w:val="24"/>
          <w:szCs w:val="24"/>
        </w:rPr>
        <w:t>Способ введения</w:t>
      </w:r>
    </w:p>
    <w:p w14:paraId="22C2DE8E" w14:textId="77777777" w:rsidR="00954A84" w:rsidRPr="00954A84" w:rsidRDefault="00954A84" w:rsidP="00954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A84">
        <w:rPr>
          <w:rFonts w:ascii="Times New Roman" w:hAnsi="Times New Roman"/>
          <w:sz w:val="24"/>
          <w:szCs w:val="24"/>
        </w:rPr>
        <w:t xml:space="preserve">Восстановленный препарат </w:t>
      </w:r>
      <w:proofErr w:type="spellStart"/>
      <w:r>
        <w:rPr>
          <w:rFonts w:ascii="Times New Roman" w:hAnsi="Times New Roman"/>
          <w:sz w:val="24"/>
          <w:szCs w:val="24"/>
        </w:rPr>
        <w:t>Азапан</w:t>
      </w:r>
      <w:proofErr w:type="spellEnd"/>
      <w:r w:rsidRPr="00954A84">
        <w:rPr>
          <w:rFonts w:ascii="Times New Roman" w:hAnsi="Times New Roman"/>
          <w:sz w:val="24"/>
          <w:szCs w:val="24"/>
        </w:rPr>
        <w:t xml:space="preserve"> следует вводить подкожно, используя иглу калибра 25G (25-гейдж), под углом от 45° до 90°, в область плеча, бедра или живота.</w:t>
      </w:r>
    </w:p>
    <w:p w14:paraId="28E0AAA7" w14:textId="77777777" w:rsidR="00954A84" w:rsidRPr="00954A84" w:rsidRDefault="00954A84" w:rsidP="00954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A84">
        <w:rPr>
          <w:rFonts w:ascii="Times New Roman" w:hAnsi="Times New Roman"/>
          <w:sz w:val="24"/>
          <w:szCs w:val="24"/>
        </w:rPr>
        <w:t>Если объём дозы превышает 4 мл, препарат необходимо вводить в два разных места.</w:t>
      </w:r>
    </w:p>
    <w:p w14:paraId="4DFFA3EE" w14:textId="77777777" w:rsidR="00954A84" w:rsidRPr="00954A84" w:rsidRDefault="00954A84" w:rsidP="00954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A84">
        <w:rPr>
          <w:rFonts w:ascii="Times New Roman" w:hAnsi="Times New Roman"/>
          <w:sz w:val="24"/>
          <w:szCs w:val="24"/>
        </w:rPr>
        <w:lastRenderedPageBreak/>
        <w:t>Места инъекций следует чередовать. Каждую новую инъекцию следует делать на расстоянии не менее 2,5 см от предыдущего места. Нельзя вводить препарат в участки кожи, где имеются покраснение, уплотнение, болезненность или синяки.</w:t>
      </w:r>
    </w:p>
    <w:p w14:paraId="6340C470" w14:textId="77777777" w:rsidR="00954A84" w:rsidRPr="00954A84" w:rsidRDefault="00954A84" w:rsidP="00954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A84">
        <w:rPr>
          <w:rFonts w:ascii="Times New Roman" w:hAnsi="Times New Roman"/>
          <w:sz w:val="24"/>
          <w:szCs w:val="24"/>
        </w:rPr>
        <w:t>Любой неиспользованный препарат или отходы должны быть утилизированы в соответствии с местными требованиями.</w:t>
      </w:r>
    </w:p>
    <w:p w14:paraId="63A717CD" w14:textId="77777777" w:rsidR="00C35DC7" w:rsidRPr="00F63FFF" w:rsidRDefault="00C35DC7" w:rsidP="002053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047330" w14:textId="1EEC207D" w:rsidR="00467E5B" w:rsidRPr="00F63FFF" w:rsidRDefault="00467E5B" w:rsidP="002053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3FFF">
        <w:rPr>
          <w:rFonts w:ascii="Times New Roman" w:hAnsi="Times New Roman"/>
          <w:b/>
          <w:bCs/>
          <w:sz w:val="24"/>
          <w:szCs w:val="24"/>
        </w:rPr>
        <w:t>6.7 Отпуск из аптек</w:t>
      </w:r>
    </w:p>
    <w:p w14:paraId="5AC3BCB2" w14:textId="77777777" w:rsidR="00BE1A57" w:rsidRPr="00F63FFF" w:rsidRDefault="008048DE" w:rsidP="0020532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F63FFF">
        <w:rPr>
          <w:rFonts w:eastAsia="Microsoft Sans Serif"/>
          <w:lang w:bidi="ru-RU"/>
        </w:rPr>
        <w:t>По рецепту.</w:t>
      </w:r>
    </w:p>
    <w:p w14:paraId="222AE4B6" w14:textId="77777777" w:rsidR="008048DE" w:rsidRPr="00F63FFF" w:rsidRDefault="008048DE" w:rsidP="0020532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6294F11B" w14:textId="77777777" w:rsidR="00120934" w:rsidRPr="00F63FFF" w:rsidRDefault="008407EF" w:rsidP="002053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F63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2587ED32" w14:textId="77777777" w:rsidR="00E0733A" w:rsidRPr="00703AE7" w:rsidRDefault="00E0733A" w:rsidP="00E0733A">
      <w:pPr>
        <w:pStyle w:val="Style5"/>
        <w:tabs>
          <w:tab w:val="left" w:pos="7371"/>
        </w:tabs>
      </w:pPr>
      <w:r w:rsidRPr="00E0733A">
        <w:rPr>
          <w:lang w:val="en-US"/>
        </w:rPr>
        <w:t>Panacea</w:t>
      </w:r>
      <w:r w:rsidRPr="00703AE7">
        <w:t xml:space="preserve"> </w:t>
      </w:r>
      <w:r w:rsidRPr="00E0733A">
        <w:rPr>
          <w:lang w:val="en-US"/>
        </w:rPr>
        <w:t>Biotec</w:t>
      </w:r>
      <w:r w:rsidRPr="00703AE7">
        <w:t xml:space="preserve"> </w:t>
      </w:r>
      <w:r w:rsidRPr="00E0733A">
        <w:rPr>
          <w:lang w:val="en-US"/>
        </w:rPr>
        <w:t>Pharma</w:t>
      </w:r>
      <w:r w:rsidRPr="00703AE7">
        <w:t xml:space="preserve"> </w:t>
      </w:r>
      <w:r w:rsidRPr="00E0733A">
        <w:rPr>
          <w:lang w:val="en-US"/>
        </w:rPr>
        <w:t>Ltd</w:t>
      </w:r>
      <w:r w:rsidRPr="00703AE7">
        <w:t>.,</w:t>
      </w:r>
    </w:p>
    <w:p w14:paraId="6AA368D5" w14:textId="77777777" w:rsidR="00E0733A" w:rsidRPr="00703AE7" w:rsidRDefault="00E0733A" w:rsidP="00E0733A">
      <w:pPr>
        <w:pStyle w:val="Style5"/>
        <w:tabs>
          <w:tab w:val="left" w:pos="7371"/>
        </w:tabs>
      </w:pPr>
      <w:proofErr w:type="spellStart"/>
      <w:r w:rsidRPr="00E0733A">
        <w:rPr>
          <w:lang w:val="en-US"/>
        </w:rPr>
        <w:t>Malpur</w:t>
      </w:r>
      <w:proofErr w:type="spellEnd"/>
      <w:r w:rsidRPr="00703AE7">
        <w:t xml:space="preserve"> </w:t>
      </w:r>
      <w:proofErr w:type="spellStart"/>
      <w:r w:rsidRPr="00E0733A">
        <w:rPr>
          <w:lang w:val="en-US"/>
        </w:rPr>
        <w:t>Baddi</w:t>
      </w:r>
      <w:proofErr w:type="spellEnd"/>
      <w:r w:rsidRPr="00703AE7">
        <w:t>/</w:t>
      </w:r>
      <w:proofErr w:type="spellStart"/>
      <w:r w:rsidRPr="00E0733A">
        <w:t>Малпур</w:t>
      </w:r>
      <w:proofErr w:type="spellEnd"/>
      <w:r w:rsidRPr="00703AE7">
        <w:t xml:space="preserve"> </w:t>
      </w:r>
      <w:r w:rsidRPr="00E0733A">
        <w:t>Бадди</w:t>
      </w:r>
      <w:r w:rsidRPr="00703AE7">
        <w:t>,</w:t>
      </w:r>
    </w:p>
    <w:p w14:paraId="19F9B322" w14:textId="77777777" w:rsidR="00E0733A" w:rsidRPr="00703AE7" w:rsidRDefault="00E0733A" w:rsidP="00E0733A">
      <w:pPr>
        <w:pStyle w:val="Style5"/>
        <w:tabs>
          <w:tab w:val="left" w:pos="7371"/>
        </w:tabs>
      </w:pPr>
      <w:r w:rsidRPr="00E0733A">
        <w:rPr>
          <w:lang w:val="en-US"/>
        </w:rPr>
        <w:t>Distt</w:t>
      </w:r>
      <w:r w:rsidRPr="00703AE7">
        <w:t xml:space="preserve">. </w:t>
      </w:r>
      <w:r w:rsidRPr="00E0733A">
        <w:rPr>
          <w:lang w:val="en-US"/>
        </w:rPr>
        <w:t>Solan</w:t>
      </w:r>
      <w:r w:rsidRPr="00703AE7">
        <w:t xml:space="preserve">, </w:t>
      </w:r>
      <w:r w:rsidRPr="00E0733A">
        <w:rPr>
          <w:lang w:val="en-US"/>
        </w:rPr>
        <w:t>H</w:t>
      </w:r>
      <w:r w:rsidRPr="00703AE7">
        <w:t>.</w:t>
      </w:r>
      <w:r w:rsidRPr="00E0733A">
        <w:rPr>
          <w:lang w:val="en-US"/>
        </w:rPr>
        <w:t>P</w:t>
      </w:r>
      <w:r w:rsidRPr="00703AE7">
        <w:t xml:space="preserve"> 173205, </w:t>
      </w:r>
      <w:r w:rsidRPr="00E0733A">
        <w:t>Индия</w:t>
      </w:r>
    </w:p>
    <w:p w14:paraId="1B59ED94" w14:textId="77777777" w:rsidR="00E0733A" w:rsidRPr="00703AE7" w:rsidRDefault="00E0733A" w:rsidP="00E0733A">
      <w:pPr>
        <w:pStyle w:val="Style5"/>
        <w:tabs>
          <w:tab w:val="left" w:pos="7371"/>
        </w:tabs>
      </w:pPr>
      <w:r w:rsidRPr="00E0733A">
        <w:t>тел</w:t>
      </w:r>
      <w:r w:rsidRPr="00703AE7">
        <w:t>: +91-11-41678000</w:t>
      </w:r>
    </w:p>
    <w:p w14:paraId="63FC1284" w14:textId="77777777" w:rsidR="00E0733A" w:rsidRPr="00E0733A" w:rsidRDefault="00E0733A" w:rsidP="00E0733A">
      <w:pPr>
        <w:pStyle w:val="Style5"/>
        <w:tabs>
          <w:tab w:val="left" w:pos="7371"/>
        </w:tabs>
      </w:pPr>
      <w:r w:rsidRPr="00E0733A">
        <w:t>факс: +91-11-41679063</w:t>
      </w:r>
    </w:p>
    <w:p w14:paraId="585F444B" w14:textId="77777777" w:rsidR="00E0733A" w:rsidRPr="00E0733A" w:rsidRDefault="00E0733A" w:rsidP="00E0733A">
      <w:pPr>
        <w:pStyle w:val="Style5"/>
        <w:tabs>
          <w:tab w:val="left" w:pos="7371"/>
        </w:tabs>
      </w:pPr>
      <w:r w:rsidRPr="00E0733A">
        <w:t xml:space="preserve">адрес электронной почты: </w:t>
      </w:r>
      <w:hyperlink r:id="rId13" w:history="1">
        <w:r w:rsidRPr="00E0733A">
          <w:rPr>
            <w:rStyle w:val="af"/>
          </w:rPr>
          <w:t>pharma@panaceabiotec.com</w:t>
        </w:r>
      </w:hyperlink>
    </w:p>
    <w:p w14:paraId="07CA654E" w14:textId="77777777" w:rsidR="005901FA" w:rsidRPr="00F63FFF" w:rsidRDefault="005901FA" w:rsidP="005901F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7A9D206C" w14:textId="77777777" w:rsidR="00467E5B" w:rsidRPr="00F63FFF" w:rsidRDefault="00593F7B" w:rsidP="002053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</w:t>
      </w:r>
      <w:r w:rsidR="00467E5B" w:rsidRPr="00F63F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РЕГИСТРАЦИОННОГО УДОСТОВЕРЕНИЯ</w:t>
      </w:r>
    </w:p>
    <w:p w14:paraId="4DF832C5" w14:textId="77777777" w:rsidR="00E0733A" w:rsidRPr="00E0733A" w:rsidRDefault="00E0733A" w:rsidP="00E0733A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0733A">
        <w:rPr>
          <w:rFonts w:ascii="Times New Roman" w:eastAsia="Times New Roman" w:hAnsi="Times New Roman"/>
          <w:bCs/>
          <w:sz w:val="24"/>
          <w:szCs w:val="24"/>
        </w:rPr>
        <w:t>Претензии потребителей направлять по адресу:</w:t>
      </w:r>
    </w:p>
    <w:p w14:paraId="45C09073" w14:textId="77777777" w:rsidR="00E0733A" w:rsidRPr="00E0733A" w:rsidRDefault="00E0733A" w:rsidP="00E0733A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0733A">
        <w:rPr>
          <w:rFonts w:ascii="Times New Roman" w:eastAsia="Times New Roman" w:hAnsi="Times New Roman"/>
          <w:bCs/>
          <w:sz w:val="24"/>
          <w:szCs w:val="24"/>
        </w:rPr>
        <w:t xml:space="preserve">ТОО «Rogers Pharma», Казахстан, 050043, г. Алматы, мкн. </w:t>
      </w:r>
      <w:proofErr w:type="spellStart"/>
      <w:r w:rsidRPr="00E0733A">
        <w:rPr>
          <w:rFonts w:ascii="Times New Roman" w:eastAsia="Times New Roman" w:hAnsi="Times New Roman"/>
          <w:bCs/>
          <w:sz w:val="24"/>
          <w:szCs w:val="24"/>
        </w:rPr>
        <w:t>Мирас</w:t>
      </w:r>
      <w:proofErr w:type="spellEnd"/>
      <w:r w:rsidRPr="00E0733A">
        <w:rPr>
          <w:rFonts w:ascii="Times New Roman" w:eastAsia="Times New Roman" w:hAnsi="Times New Roman"/>
          <w:bCs/>
          <w:sz w:val="24"/>
          <w:szCs w:val="24"/>
        </w:rPr>
        <w:t xml:space="preserve">, д. 157, </w:t>
      </w:r>
      <w:proofErr w:type="spellStart"/>
      <w:r w:rsidRPr="00E0733A">
        <w:rPr>
          <w:rFonts w:ascii="Times New Roman" w:eastAsia="Times New Roman" w:hAnsi="Times New Roman"/>
          <w:bCs/>
          <w:sz w:val="24"/>
          <w:szCs w:val="24"/>
        </w:rPr>
        <w:t>н.п</w:t>
      </w:r>
      <w:proofErr w:type="spellEnd"/>
      <w:r w:rsidRPr="00E0733A">
        <w:rPr>
          <w:rFonts w:ascii="Times New Roman" w:eastAsia="Times New Roman" w:hAnsi="Times New Roman"/>
          <w:bCs/>
          <w:sz w:val="24"/>
          <w:szCs w:val="24"/>
        </w:rPr>
        <w:t xml:space="preserve">. 819. </w:t>
      </w:r>
    </w:p>
    <w:p w14:paraId="0772604D" w14:textId="77777777" w:rsidR="00E0733A" w:rsidRPr="00E0733A" w:rsidRDefault="00E0733A" w:rsidP="00E0733A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0733A">
        <w:rPr>
          <w:rFonts w:ascii="Times New Roman" w:eastAsia="Times New Roman" w:hAnsi="Times New Roman"/>
          <w:bCs/>
          <w:sz w:val="24"/>
          <w:szCs w:val="24"/>
        </w:rPr>
        <w:t xml:space="preserve">Тел. +7 (727) 311-81-96/97, </w:t>
      </w:r>
    </w:p>
    <w:p w14:paraId="49E51941" w14:textId="77777777" w:rsidR="00E0733A" w:rsidRPr="00E0733A" w:rsidRDefault="00E0733A" w:rsidP="00E0733A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E0733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e-mail: </w:t>
      </w:r>
      <w:hyperlink r:id="rId14" w:history="1">
        <w:r w:rsidRPr="00E0733A">
          <w:rPr>
            <w:rStyle w:val="af"/>
            <w:rFonts w:ascii="Times New Roman" w:eastAsia="Times New Roman" w:hAnsi="Times New Roman"/>
            <w:bCs/>
            <w:sz w:val="24"/>
            <w:szCs w:val="24"/>
            <w:lang w:val="en-US"/>
          </w:rPr>
          <w:t>office.secretary@rogersgroup.in</w:t>
        </w:r>
      </w:hyperlink>
    </w:p>
    <w:p w14:paraId="53E6F9F6" w14:textId="77777777" w:rsidR="003E3DEF" w:rsidRPr="00E0733A" w:rsidRDefault="003E3DEF" w:rsidP="0020532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14:paraId="5F10301A" w14:textId="77777777" w:rsidR="002511DF" w:rsidRPr="00F63FFF" w:rsidRDefault="002511DF" w:rsidP="002053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5502E5CD" w14:textId="7B64D55D" w:rsidR="00BE1A57" w:rsidRPr="007F1A87" w:rsidRDefault="007F1A87" w:rsidP="002053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1A87">
        <w:rPr>
          <w:rFonts w:ascii="Times New Roman" w:eastAsia="Times New Roman" w:hAnsi="Times New Roman"/>
          <w:bCs/>
          <w:sz w:val="24"/>
          <w:szCs w:val="24"/>
          <w:lang w:eastAsia="ru-RU"/>
        </w:rPr>
        <w:t>РК-ЛС-5№026567</w:t>
      </w:r>
    </w:p>
    <w:p w14:paraId="665A48F8" w14:textId="77777777" w:rsidR="007F1A87" w:rsidRPr="00F63FFF" w:rsidRDefault="007F1A87" w:rsidP="002053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36CB2D" w14:textId="77777777" w:rsidR="002511DF" w:rsidRPr="00F63FFF" w:rsidRDefault="002511DF" w:rsidP="002053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63F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4C155153" w14:textId="340B70B5" w:rsidR="00CC0724" w:rsidRDefault="007F1A87" w:rsidP="0020532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en-US" w:bidi="ru-RU"/>
        </w:rPr>
      </w:pPr>
      <w:r>
        <w:rPr>
          <w:rFonts w:eastAsia="Microsoft Sans Serif"/>
          <w:lang w:val="en-US" w:bidi="ru-RU"/>
        </w:rPr>
        <w:t>15.05.2025</w:t>
      </w:r>
    </w:p>
    <w:p w14:paraId="35EFACD1" w14:textId="77777777" w:rsidR="007F1A87" w:rsidRPr="007F1A87" w:rsidRDefault="007F1A87" w:rsidP="0020532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en-US" w:bidi="ru-RU"/>
        </w:rPr>
      </w:pPr>
    </w:p>
    <w:p w14:paraId="68DDB2CB" w14:textId="77777777" w:rsidR="0020532D" w:rsidRPr="00F63FFF" w:rsidRDefault="0020532D" w:rsidP="0020532D">
      <w:pPr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63FFF">
        <w:rPr>
          <w:rFonts w:ascii="Times New Roman" w:eastAsia="TimesNewRomanPSMT" w:hAnsi="Times New Roman"/>
          <w:b/>
          <w:sz w:val="24"/>
          <w:szCs w:val="24"/>
          <w:lang w:eastAsia="ru-RU"/>
        </w:rPr>
        <w:t>10. ДАТА ПЕРЕСМОТРА ТЕКСТА</w:t>
      </w:r>
    </w:p>
    <w:p w14:paraId="3A1D966D" w14:textId="1C48FCC0" w:rsidR="000A272B" w:rsidRPr="00C35DC7" w:rsidRDefault="0020532D" w:rsidP="0020532D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 w:bidi="ru-RU"/>
        </w:rPr>
      </w:pPr>
      <w:r w:rsidRPr="00F63FFF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5" w:history="1">
        <w:r w:rsidRPr="00F63FFF">
          <w:rPr>
            <w:rStyle w:val="af"/>
            <w:rFonts w:ascii="Times New Roman" w:eastAsia="TimesNewRomanPSMT" w:hAnsi="Times New Roman"/>
            <w:sz w:val="24"/>
            <w:szCs w:val="24"/>
            <w:lang w:val="en-US" w:eastAsia="ru-RU"/>
          </w:rPr>
          <w:t>http</w:t>
        </w:r>
        <w:r w:rsidRPr="00F63FFF">
          <w:rPr>
            <w:rStyle w:val="af"/>
            <w:rFonts w:ascii="Times New Roman" w:eastAsia="TimesNewRomanPSMT" w:hAnsi="Times New Roman"/>
            <w:sz w:val="24"/>
            <w:szCs w:val="24"/>
            <w:lang w:eastAsia="ru-RU"/>
          </w:rPr>
          <w:t>://</w:t>
        </w:r>
        <w:r w:rsidRPr="00F63FFF">
          <w:rPr>
            <w:rStyle w:val="af"/>
            <w:rFonts w:ascii="Times New Roman" w:eastAsia="TimesNewRomanPSMT" w:hAnsi="Times New Roman"/>
            <w:sz w:val="24"/>
            <w:szCs w:val="24"/>
            <w:lang w:val="en-US" w:eastAsia="ru-RU"/>
          </w:rPr>
          <w:t>www</w:t>
        </w:r>
        <w:r w:rsidRPr="00F63FFF">
          <w:rPr>
            <w:rStyle w:val="af"/>
            <w:rFonts w:ascii="Times New Roman" w:eastAsia="TimesNewRomanPSMT" w:hAnsi="Times New Roman"/>
            <w:sz w:val="24"/>
            <w:szCs w:val="24"/>
            <w:lang w:eastAsia="ru-RU"/>
          </w:rPr>
          <w:t>.</w:t>
        </w:r>
        <w:proofErr w:type="spellStart"/>
        <w:r w:rsidRPr="00F63FFF">
          <w:rPr>
            <w:rStyle w:val="af"/>
            <w:rFonts w:ascii="Times New Roman" w:eastAsia="TimesNewRomanPSMT" w:hAnsi="Times New Roman"/>
            <w:sz w:val="24"/>
            <w:szCs w:val="24"/>
            <w:lang w:val="en-US" w:eastAsia="ru-RU"/>
          </w:rPr>
          <w:t>ndda</w:t>
        </w:r>
        <w:proofErr w:type="spellEnd"/>
        <w:r w:rsidRPr="00F63FFF">
          <w:rPr>
            <w:rStyle w:val="af"/>
            <w:rFonts w:ascii="Times New Roman" w:eastAsia="TimesNewRomanPSMT" w:hAnsi="Times New Roman"/>
            <w:sz w:val="24"/>
            <w:szCs w:val="24"/>
            <w:lang w:eastAsia="ru-RU"/>
          </w:rPr>
          <w:t>.</w:t>
        </w:r>
        <w:proofErr w:type="spellStart"/>
        <w:r w:rsidRPr="00F63FFF">
          <w:rPr>
            <w:rStyle w:val="af"/>
            <w:rFonts w:ascii="Times New Roman" w:eastAsia="TimesNewRomanPSMT" w:hAnsi="Times New Roman"/>
            <w:sz w:val="24"/>
            <w:szCs w:val="24"/>
            <w:lang w:val="en-US" w:eastAsia="ru-RU"/>
          </w:rPr>
          <w:t>kz</w:t>
        </w:r>
        <w:proofErr w:type="spellEnd"/>
      </w:hyperlink>
      <w:r w:rsidRPr="003524DD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sectPr w:rsidR="000A272B" w:rsidRPr="00C35DC7" w:rsidSect="00756DD8">
      <w:headerReference w:type="defaul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13A1" w14:textId="77777777" w:rsidR="0044127A" w:rsidRDefault="0044127A" w:rsidP="00D275FC">
      <w:pPr>
        <w:spacing w:after="0" w:line="240" w:lineRule="auto"/>
      </w:pPr>
      <w:r>
        <w:separator/>
      </w:r>
    </w:p>
  </w:endnote>
  <w:endnote w:type="continuationSeparator" w:id="0">
    <w:p w14:paraId="73BE16B3" w14:textId="77777777" w:rsidR="0044127A" w:rsidRDefault="0044127A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EA6F" w14:textId="77777777" w:rsidR="0044127A" w:rsidRDefault="0044127A" w:rsidP="00D275FC">
      <w:pPr>
        <w:spacing w:after="0" w:line="240" w:lineRule="auto"/>
      </w:pPr>
      <w:r>
        <w:separator/>
      </w:r>
    </w:p>
  </w:footnote>
  <w:footnote w:type="continuationSeparator" w:id="0">
    <w:p w14:paraId="2D960C9E" w14:textId="77777777" w:rsidR="0044127A" w:rsidRDefault="0044127A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3609" w14:textId="77777777" w:rsidR="000C6846" w:rsidRPr="00F10C16" w:rsidRDefault="000C6846" w:rsidP="00F10C16">
    <w:pPr>
      <w:pStyle w:val="af1"/>
      <w:jc w:val="right"/>
      <w:rPr>
        <w:i/>
        <w:iCs/>
        <w:color w:val="00B05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5A5C"/>
    <w:multiLevelType w:val="multilevel"/>
    <w:tmpl w:val="6334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7A1D"/>
    <w:multiLevelType w:val="hybridMultilevel"/>
    <w:tmpl w:val="EDCC55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33DB5"/>
    <w:multiLevelType w:val="hybridMultilevel"/>
    <w:tmpl w:val="F36E5C02"/>
    <w:lvl w:ilvl="0" w:tplc="AA2CFB8C">
      <w:numFmt w:val="bullet"/>
      <w:lvlText w:val="-"/>
      <w:lvlJc w:val="left"/>
      <w:pPr>
        <w:ind w:left="7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4" w15:restartNumberingAfterBreak="0">
    <w:nsid w:val="3AE10F81"/>
    <w:multiLevelType w:val="hybridMultilevel"/>
    <w:tmpl w:val="E5428FE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17604"/>
    <w:multiLevelType w:val="hybridMultilevel"/>
    <w:tmpl w:val="953CB0CC"/>
    <w:lvl w:ilvl="0" w:tplc="AA2CFB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48719D"/>
    <w:multiLevelType w:val="multilevel"/>
    <w:tmpl w:val="B30C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77E28"/>
    <w:multiLevelType w:val="hybridMultilevel"/>
    <w:tmpl w:val="10EC9FE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1641D"/>
    <w:multiLevelType w:val="hybridMultilevel"/>
    <w:tmpl w:val="D0D0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D33B8"/>
    <w:multiLevelType w:val="hybridMultilevel"/>
    <w:tmpl w:val="A3463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1A96"/>
    <w:multiLevelType w:val="hybridMultilevel"/>
    <w:tmpl w:val="4838D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52727"/>
    <w:multiLevelType w:val="multilevel"/>
    <w:tmpl w:val="8DBAC2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E6833E8"/>
    <w:multiLevelType w:val="hybridMultilevel"/>
    <w:tmpl w:val="09B49E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"/>
  </w:num>
  <w:num w:numId="4">
    <w:abstractNumId w:val="27"/>
  </w:num>
  <w:num w:numId="5">
    <w:abstractNumId w:val="35"/>
  </w:num>
  <w:num w:numId="6">
    <w:abstractNumId w:val="7"/>
  </w:num>
  <w:num w:numId="7">
    <w:abstractNumId w:val="31"/>
  </w:num>
  <w:num w:numId="8">
    <w:abstractNumId w:val="9"/>
  </w:num>
  <w:num w:numId="9">
    <w:abstractNumId w:val="23"/>
  </w:num>
  <w:num w:numId="10">
    <w:abstractNumId w:val="10"/>
  </w:num>
  <w:num w:numId="11">
    <w:abstractNumId w:val="21"/>
  </w:num>
  <w:num w:numId="12">
    <w:abstractNumId w:val="26"/>
  </w:num>
  <w:num w:numId="13">
    <w:abstractNumId w:val="28"/>
  </w:num>
  <w:num w:numId="14">
    <w:abstractNumId w:val="15"/>
  </w:num>
  <w:num w:numId="15">
    <w:abstractNumId w:val="0"/>
  </w:num>
  <w:num w:numId="16">
    <w:abstractNumId w:val="32"/>
  </w:num>
  <w:num w:numId="17">
    <w:abstractNumId w:val="20"/>
  </w:num>
  <w:num w:numId="18">
    <w:abstractNumId w:val="18"/>
  </w:num>
  <w:num w:numId="19">
    <w:abstractNumId w:val="8"/>
  </w:num>
  <w:num w:numId="20">
    <w:abstractNumId w:val="1"/>
  </w:num>
  <w:num w:numId="21">
    <w:abstractNumId w:val="11"/>
  </w:num>
  <w:num w:numId="22">
    <w:abstractNumId w:val="6"/>
  </w:num>
  <w:num w:numId="23">
    <w:abstractNumId w:val="30"/>
  </w:num>
  <w:num w:numId="24">
    <w:abstractNumId w:val="12"/>
  </w:num>
  <w:num w:numId="25">
    <w:abstractNumId w:val="13"/>
  </w:num>
  <w:num w:numId="26">
    <w:abstractNumId w:val="19"/>
  </w:num>
  <w:num w:numId="27">
    <w:abstractNumId w:val="29"/>
  </w:num>
  <w:num w:numId="28">
    <w:abstractNumId w:val="14"/>
  </w:num>
  <w:num w:numId="29">
    <w:abstractNumId w:val="25"/>
  </w:num>
  <w:num w:numId="30">
    <w:abstractNumId w:val="16"/>
  </w:num>
  <w:num w:numId="31">
    <w:abstractNumId w:val="5"/>
  </w:num>
  <w:num w:numId="32">
    <w:abstractNumId w:val="34"/>
  </w:num>
  <w:num w:numId="33">
    <w:abstractNumId w:val="22"/>
  </w:num>
  <w:num w:numId="34">
    <w:abstractNumId w:val="33"/>
  </w:num>
  <w:num w:numId="35">
    <w:abstractNumId w:val="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04C99"/>
    <w:rsid w:val="00010371"/>
    <w:rsid w:val="0001440B"/>
    <w:rsid w:val="0002049D"/>
    <w:rsid w:val="000242A3"/>
    <w:rsid w:val="000264BB"/>
    <w:rsid w:val="00033FC1"/>
    <w:rsid w:val="00042999"/>
    <w:rsid w:val="00043E0F"/>
    <w:rsid w:val="0005238D"/>
    <w:rsid w:val="00055A7A"/>
    <w:rsid w:val="0006171D"/>
    <w:rsid w:val="00064979"/>
    <w:rsid w:val="000720DB"/>
    <w:rsid w:val="000852A1"/>
    <w:rsid w:val="00095456"/>
    <w:rsid w:val="000972E6"/>
    <w:rsid w:val="000A0D71"/>
    <w:rsid w:val="000A15B0"/>
    <w:rsid w:val="000A272B"/>
    <w:rsid w:val="000A48A4"/>
    <w:rsid w:val="000C2C4B"/>
    <w:rsid w:val="000C3EBE"/>
    <w:rsid w:val="000C4B3A"/>
    <w:rsid w:val="000C4C48"/>
    <w:rsid w:val="000C6846"/>
    <w:rsid w:val="000C7298"/>
    <w:rsid w:val="000D0FF0"/>
    <w:rsid w:val="000D184E"/>
    <w:rsid w:val="000E01AB"/>
    <w:rsid w:val="000E153C"/>
    <w:rsid w:val="000E3634"/>
    <w:rsid w:val="000E49F0"/>
    <w:rsid w:val="000E6126"/>
    <w:rsid w:val="00100406"/>
    <w:rsid w:val="001070F9"/>
    <w:rsid w:val="00107A8A"/>
    <w:rsid w:val="001109C7"/>
    <w:rsid w:val="00111788"/>
    <w:rsid w:val="00113645"/>
    <w:rsid w:val="00120934"/>
    <w:rsid w:val="00121538"/>
    <w:rsid w:val="00121ECF"/>
    <w:rsid w:val="00123DB5"/>
    <w:rsid w:val="00125232"/>
    <w:rsid w:val="00131E3E"/>
    <w:rsid w:val="00132B9A"/>
    <w:rsid w:val="001368AE"/>
    <w:rsid w:val="00144CCD"/>
    <w:rsid w:val="0014699B"/>
    <w:rsid w:val="0014739A"/>
    <w:rsid w:val="0015490C"/>
    <w:rsid w:val="00155469"/>
    <w:rsid w:val="001573E2"/>
    <w:rsid w:val="00160CC4"/>
    <w:rsid w:val="0016278D"/>
    <w:rsid w:val="00164E5D"/>
    <w:rsid w:val="00165665"/>
    <w:rsid w:val="0016725D"/>
    <w:rsid w:val="00171FE1"/>
    <w:rsid w:val="00182AD3"/>
    <w:rsid w:val="00192224"/>
    <w:rsid w:val="001937AD"/>
    <w:rsid w:val="001A2CB2"/>
    <w:rsid w:val="001A3A84"/>
    <w:rsid w:val="001A3D5B"/>
    <w:rsid w:val="001B473B"/>
    <w:rsid w:val="001B6AEC"/>
    <w:rsid w:val="001D0B84"/>
    <w:rsid w:val="001E18C8"/>
    <w:rsid w:val="001E5E2A"/>
    <w:rsid w:val="001E6F4C"/>
    <w:rsid w:val="001F16AA"/>
    <w:rsid w:val="001F3197"/>
    <w:rsid w:val="00200F3B"/>
    <w:rsid w:val="00203355"/>
    <w:rsid w:val="0020414E"/>
    <w:rsid w:val="0020532D"/>
    <w:rsid w:val="00210538"/>
    <w:rsid w:val="00211005"/>
    <w:rsid w:val="0021309A"/>
    <w:rsid w:val="00215484"/>
    <w:rsid w:val="00217D41"/>
    <w:rsid w:val="002222A9"/>
    <w:rsid w:val="00222CA6"/>
    <w:rsid w:val="00226888"/>
    <w:rsid w:val="00232642"/>
    <w:rsid w:val="00235A20"/>
    <w:rsid w:val="00237697"/>
    <w:rsid w:val="002410EA"/>
    <w:rsid w:val="00250EDB"/>
    <w:rsid w:val="002511DF"/>
    <w:rsid w:val="00252C64"/>
    <w:rsid w:val="00256E10"/>
    <w:rsid w:val="00260413"/>
    <w:rsid w:val="00260EBC"/>
    <w:rsid w:val="00261A48"/>
    <w:rsid w:val="00264710"/>
    <w:rsid w:val="00267567"/>
    <w:rsid w:val="00270B0A"/>
    <w:rsid w:val="00272EE1"/>
    <w:rsid w:val="00275EE0"/>
    <w:rsid w:val="00280010"/>
    <w:rsid w:val="00280121"/>
    <w:rsid w:val="00281FBE"/>
    <w:rsid w:val="00290D2E"/>
    <w:rsid w:val="00292715"/>
    <w:rsid w:val="002A591C"/>
    <w:rsid w:val="002A73E0"/>
    <w:rsid w:val="002C10E1"/>
    <w:rsid w:val="002C15EB"/>
    <w:rsid w:val="002C1660"/>
    <w:rsid w:val="002C35A2"/>
    <w:rsid w:val="002C5345"/>
    <w:rsid w:val="002C7E45"/>
    <w:rsid w:val="002D56B7"/>
    <w:rsid w:val="002E0BAD"/>
    <w:rsid w:val="002F4A14"/>
    <w:rsid w:val="002F7082"/>
    <w:rsid w:val="003021E5"/>
    <w:rsid w:val="0030318D"/>
    <w:rsid w:val="003043BF"/>
    <w:rsid w:val="00320073"/>
    <w:rsid w:val="00322860"/>
    <w:rsid w:val="003262DF"/>
    <w:rsid w:val="00332951"/>
    <w:rsid w:val="0034682B"/>
    <w:rsid w:val="003524DD"/>
    <w:rsid w:val="003546AC"/>
    <w:rsid w:val="00355382"/>
    <w:rsid w:val="0036288F"/>
    <w:rsid w:val="00365B10"/>
    <w:rsid w:val="00367BA7"/>
    <w:rsid w:val="003761C0"/>
    <w:rsid w:val="003812B2"/>
    <w:rsid w:val="00381E7C"/>
    <w:rsid w:val="00383CDB"/>
    <w:rsid w:val="00383DA1"/>
    <w:rsid w:val="00384EFD"/>
    <w:rsid w:val="003879F9"/>
    <w:rsid w:val="003A035E"/>
    <w:rsid w:val="003A577F"/>
    <w:rsid w:val="003A6670"/>
    <w:rsid w:val="003B01F4"/>
    <w:rsid w:val="003B0285"/>
    <w:rsid w:val="003C07E3"/>
    <w:rsid w:val="003C3873"/>
    <w:rsid w:val="003C659E"/>
    <w:rsid w:val="003D233D"/>
    <w:rsid w:val="003D4378"/>
    <w:rsid w:val="003E13CF"/>
    <w:rsid w:val="003E3DEF"/>
    <w:rsid w:val="003E4F5E"/>
    <w:rsid w:val="003F166E"/>
    <w:rsid w:val="003F2CD3"/>
    <w:rsid w:val="003F5344"/>
    <w:rsid w:val="003F7EDC"/>
    <w:rsid w:val="00404548"/>
    <w:rsid w:val="0041162E"/>
    <w:rsid w:val="00415FEA"/>
    <w:rsid w:val="00420FAF"/>
    <w:rsid w:val="0042786D"/>
    <w:rsid w:val="004339CB"/>
    <w:rsid w:val="00433C62"/>
    <w:rsid w:val="0044127A"/>
    <w:rsid w:val="00441A28"/>
    <w:rsid w:val="00442062"/>
    <w:rsid w:val="00444FEF"/>
    <w:rsid w:val="00445552"/>
    <w:rsid w:val="004520B5"/>
    <w:rsid w:val="00454D8A"/>
    <w:rsid w:val="004608A4"/>
    <w:rsid w:val="00467E5B"/>
    <w:rsid w:val="00472EF5"/>
    <w:rsid w:val="004821F7"/>
    <w:rsid w:val="0048687C"/>
    <w:rsid w:val="004A1661"/>
    <w:rsid w:val="004A31B4"/>
    <w:rsid w:val="004A7038"/>
    <w:rsid w:val="004B7DB1"/>
    <w:rsid w:val="004C1922"/>
    <w:rsid w:val="004C462F"/>
    <w:rsid w:val="004C71C2"/>
    <w:rsid w:val="004D49E9"/>
    <w:rsid w:val="004D56F7"/>
    <w:rsid w:val="004E2630"/>
    <w:rsid w:val="004F45AC"/>
    <w:rsid w:val="004F66FE"/>
    <w:rsid w:val="004F6AFC"/>
    <w:rsid w:val="00506C9D"/>
    <w:rsid w:val="005071DA"/>
    <w:rsid w:val="005075FF"/>
    <w:rsid w:val="00522C12"/>
    <w:rsid w:val="00523D82"/>
    <w:rsid w:val="005314AD"/>
    <w:rsid w:val="00541A00"/>
    <w:rsid w:val="0054422B"/>
    <w:rsid w:val="005444B2"/>
    <w:rsid w:val="00552F31"/>
    <w:rsid w:val="00552F8B"/>
    <w:rsid w:val="00561FE7"/>
    <w:rsid w:val="00566737"/>
    <w:rsid w:val="00567153"/>
    <w:rsid w:val="00575348"/>
    <w:rsid w:val="005869C5"/>
    <w:rsid w:val="005901FA"/>
    <w:rsid w:val="005924F5"/>
    <w:rsid w:val="005938D0"/>
    <w:rsid w:val="00593F7B"/>
    <w:rsid w:val="005A3C81"/>
    <w:rsid w:val="005A5680"/>
    <w:rsid w:val="005A6639"/>
    <w:rsid w:val="005A6914"/>
    <w:rsid w:val="005B13A3"/>
    <w:rsid w:val="005B1566"/>
    <w:rsid w:val="005B3B60"/>
    <w:rsid w:val="005B3FFE"/>
    <w:rsid w:val="005C1519"/>
    <w:rsid w:val="005C1C4E"/>
    <w:rsid w:val="005C4994"/>
    <w:rsid w:val="005C4A16"/>
    <w:rsid w:val="005D68C6"/>
    <w:rsid w:val="005D7EE3"/>
    <w:rsid w:val="005E50DE"/>
    <w:rsid w:val="005E7569"/>
    <w:rsid w:val="005E76DA"/>
    <w:rsid w:val="005F7097"/>
    <w:rsid w:val="0060364A"/>
    <w:rsid w:val="00607D5F"/>
    <w:rsid w:val="00617611"/>
    <w:rsid w:val="00617843"/>
    <w:rsid w:val="00620F34"/>
    <w:rsid w:val="00624C1B"/>
    <w:rsid w:val="00625471"/>
    <w:rsid w:val="0062661D"/>
    <w:rsid w:val="006274C7"/>
    <w:rsid w:val="00627853"/>
    <w:rsid w:val="00632571"/>
    <w:rsid w:val="00633387"/>
    <w:rsid w:val="00634D0C"/>
    <w:rsid w:val="0065148D"/>
    <w:rsid w:val="00652BCE"/>
    <w:rsid w:val="00652E29"/>
    <w:rsid w:val="00653617"/>
    <w:rsid w:val="0067136B"/>
    <w:rsid w:val="00676E43"/>
    <w:rsid w:val="006821D8"/>
    <w:rsid w:val="00691208"/>
    <w:rsid w:val="006A23C4"/>
    <w:rsid w:val="006A5EC4"/>
    <w:rsid w:val="006A702E"/>
    <w:rsid w:val="006B1751"/>
    <w:rsid w:val="006B7A90"/>
    <w:rsid w:val="006C5F38"/>
    <w:rsid w:val="006D4215"/>
    <w:rsid w:val="006D5986"/>
    <w:rsid w:val="006D7D5A"/>
    <w:rsid w:val="006E4305"/>
    <w:rsid w:val="006F5763"/>
    <w:rsid w:val="00703AE7"/>
    <w:rsid w:val="00704BAB"/>
    <w:rsid w:val="007104D1"/>
    <w:rsid w:val="007135A6"/>
    <w:rsid w:val="0072522F"/>
    <w:rsid w:val="00726BD3"/>
    <w:rsid w:val="00730461"/>
    <w:rsid w:val="00733A73"/>
    <w:rsid w:val="00746FF2"/>
    <w:rsid w:val="007479AE"/>
    <w:rsid w:val="00756DD8"/>
    <w:rsid w:val="0075799B"/>
    <w:rsid w:val="00761133"/>
    <w:rsid w:val="007649F7"/>
    <w:rsid w:val="00764E84"/>
    <w:rsid w:val="007762F8"/>
    <w:rsid w:val="00783520"/>
    <w:rsid w:val="007A02D3"/>
    <w:rsid w:val="007A18B1"/>
    <w:rsid w:val="007A5285"/>
    <w:rsid w:val="007B011E"/>
    <w:rsid w:val="007B1709"/>
    <w:rsid w:val="007C055A"/>
    <w:rsid w:val="007C1693"/>
    <w:rsid w:val="007C1C3E"/>
    <w:rsid w:val="007D0E84"/>
    <w:rsid w:val="007D681B"/>
    <w:rsid w:val="007E1D85"/>
    <w:rsid w:val="007E734A"/>
    <w:rsid w:val="007F1A87"/>
    <w:rsid w:val="00803517"/>
    <w:rsid w:val="008048DE"/>
    <w:rsid w:val="00804A48"/>
    <w:rsid w:val="00805B46"/>
    <w:rsid w:val="008106A7"/>
    <w:rsid w:val="0081154A"/>
    <w:rsid w:val="00814DFC"/>
    <w:rsid w:val="00820B36"/>
    <w:rsid w:val="00827BB2"/>
    <w:rsid w:val="008329DA"/>
    <w:rsid w:val="00832A7E"/>
    <w:rsid w:val="008330E7"/>
    <w:rsid w:val="008353A4"/>
    <w:rsid w:val="008377D8"/>
    <w:rsid w:val="008407EF"/>
    <w:rsid w:val="008418F5"/>
    <w:rsid w:val="008451C8"/>
    <w:rsid w:val="0084635C"/>
    <w:rsid w:val="008465E6"/>
    <w:rsid w:val="00847154"/>
    <w:rsid w:val="00861310"/>
    <w:rsid w:val="00862FA8"/>
    <w:rsid w:val="0086657B"/>
    <w:rsid w:val="0087104B"/>
    <w:rsid w:val="00871232"/>
    <w:rsid w:val="008832E5"/>
    <w:rsid w:val="008872AB"/>
    <w:rsid w:val="00891EB8"/>
    <w:rsid w:val="0089401D"/>
    <w:rsid w:val="00897527"/>
    <w:rsid w:val="00897669"/>
    <w:rsid w:val="008C0181"/>
    <w:rsid w:val="008C6434"/>
    <w:rsid w:val="008D0B8D"/>
    <w:rsid w:val="008D2E49"/>
    <w:rsid w:val="008D4451"/>
    <w:rsid w:val="008D62B7"/>
    <w:rsid w:val="008D7002"/>
    <w:rsid w:val="008E19AE"/>
    <w:rsid w:val="008E6895"/>
    <w:rsid w:val="008F0721"/>
    <w:rsid w:val="008F6E12"/>
    <w:rsid w:val="008F785C"/>
    <w:rsid w:val="00900B3C"/>
    <w:rsid w:val="00900EAD"/>
    <w:rsid w:val="00904FB5"/>
    <w:rsid w:val="0091136C"/>
    <w:rsid w:val="009128A3"/>
    <w:rsid w:val="00917F48"/>
    <w:rsid w:val="00930D7D"/>
    <w:rsid w:val="009328D1"/>
    <w:rsid w:val="0094270A"/>
    <w:rsid w:val="0095047E"/>
    <w:rsid w:val="00954A84"/>
    <w:rsid w:val="00956101"/>
    <w:rsid w:val="00962CD6"/>
    <w:rsid w:val="00974EE1"/>
    <w:rsid w:val="00980ED0"/>
    <w:rsid w:val="00984E8A"/>
    <w:rsid w:val="00984FD8"/>
    <w:rsid w:val="00985916"/>
    <w:rsid w:val="009862CB"/>
    <w:rsid w:val="00986783"/>
    <w:rsid w:val="00987376"/>
    <w:rsid w:val="00993A60"/>
    <w:rsid w:val="009B014E"/>
    <w:rsid w:val="009C3CFF"/>
    <w:rsid w:val="009D67EC"/>
    <w:rsid w:val="009D71D5"/>
    <w:rsid w:val="009E144E"/>
    <w:rsid w:val="009E2678"/>
    <w:rsid w:val="009E2887"/>
    <w:rsid w:val="009E56D6"/>
    <w:rsid w:val="009E5CB9"/>
    <w:rsid w:val="009F07F5"/>
    <w:rsid w:val="009F2173"/>
    <w:rsid w:val="009F31F2"/>
    <w:rsid w:val="009F45A5"/>
    <w:rsid w:val="009F5A85"/>
    <w:rsid w:val="009F634C"/>
    <w:rsid w:val="009F72B0"/>
    <w:rsid w:val="00A01C2E"/>
    <w:rsid w:val="00A02BB2"/>
    <w:rsid w:val="00A04052"/>
    <w:rsid w:val="00A0709E"/>
    <w:rsid w:val="00A0797C"/>
    <w:rsid w:val="00A07B7D"/>
    <w:rsid w:val="00A12563"/>
    <w:rsid w:val="00A16E20"/>
    <w:rsid w:val="00A2498C"/>
    <w:rsid w:val="00A267A1"/>
    <w:rsid w:val="00A26BB4"/>
    <w:rsid w:val="00A2741A"/>
    <w:rsid w:val="00A300B9"/>
    <w:rsid w:val="00A31019"/>
    <w:rsid w:val="00A42877"/>
    <w:rsid w:val="00A810C9"/>
    <w:rsid w:val="00A84EA1"/>
    <w:rsid w:val="00AA5E2F"/>
    <w:rsid w:val="00AA5F3E"/>
    <w:rsid w:val="00AA7317"/>
    <w:rsid w:val="00AC2C0B"/>
    <w:rsid w:val="00AC2FEC"/>
    <w:rsid w:val="00AC4905"/>
    <w:rsid w:val="00AC729D"/>
    <w:rsid w:val="00AE7922"/>
    <w:rsid w:val="00AF056B"/>
    <w:rsid w:val="00B01011"/>
    <w:rsid w:val="00B05BD1"/>
    <w:rsid w:val="00B10089"/>
    <w:rsid w:val="00B21CF0"/>
    <w:rsid w:val="00B22E50"/>
    <w:rsid w:val="00B3069E"/>
    <w:rsid w:val="00B42119"/>
    <w:rsid w:val="00B46F30"/>
    <w:rsid w:val="00B562D9"/>
    <w:rsid w:val="00B603BE"/>
    <w:rsid w:val="00B608C1"/>
    <w:rsid w:val="00B60D3D"/>
    <w:rsid w:val="00B61D95"/>
    <w:rsid w:val="00B672FA"/>
    <w:rsid w:val="00B7231F"/>
    <w:rsid w:val="00B86E7E"/>
    <w:rsid w:val="00B90A1E"/>
    <w:rsid w:val="00B9187F"/>
    <w:rsid w:val="00BA1DD1"/>
    <w:rsid w:val="00BA2BF3"/>
    <w:rsid w:val="00BB3050"/>
    <w:rsid w:val="00BB4F39"/>
    <w:rsid w:val="00BB7831"/>
    <w:rsid w:val="00BC31BC"/>
    <w:rsid w:val="00BC5BDE"/>
    <w:rsid w:val="00BC6167"/>
    <w:rsid w:val="00BC6A01"/>
    <w:rsid w:val="00BD3BF8"/>
    <w:rsid w:val="00BE1A57"/>
    <w:rsid w:val="00BE4435"/>
    <w:rsid w:val="00BE6B71"/>
    <w:rsid w:val="00BF3877"/>
    <w:rsid w:val="00BF56A9"/>
    <w:rsid w:val="00BF7DB7"/>
    <w:rsid w:val="00C07BB3"/>
    <w:rsid w:val="00C1482B"/>
    <w:rsid w:val="00C153F2"/>
    <w:rsid w:val="00C2000E"/>
    <w:rsid w:val="00C328EC"/>
    <w:rsid w:val="00C35DC7"/>
    <w:rsid w:val="00C379C9"/>
    <w:rsid w:val="00C422B8"/>
    <w:rsid w:val="00C42E3C"/>
    <w:rsid w:val="00C45193"/>
    <w:rsid w:val="00C5392C"/>
    <w:rsid w:val="00C566D6"/>
    <w:rsid w:val="00C617A5"/>
    <w:rsid w:val="00C6751C"/>
    <w:rsid w:val="00C71E57"/>
    <w:rsid w:val="00C764D9"/>
    <w:rsid w:val="00C77910"/>
    <w:rsid w:val="00C839ED"/>
    <w:rsid w:val="00C84299"/>
    <w:rsid w:val="00C9265E"/>
    <w:rsid w:val="00C929C6"/>
    <w:rsid w:val="00C92F14"/>
    <w:rsid w:val="00C94B98"/>
    <w:rsid w:val="00C97365"/>
    <w:rsid w:val="00CA4C1A"/>
    <w:rsid w:val="00CC0724"/>
    <w:rsid w:val="00CC08BA"/>
    <w:rsid w:val="00CC330A"/>
    <w:rsid w:val="00CC5727"/>
    <w:rsid w:val="00CC7DBD"/>
    <w:rsid w:val="00CD6935"/>
    <w:rsid w:val="00CE4B7C"/>
    <w:rsid w:val="00CF3849"/>
    <w:rsid w:val="00CF3BE4"/>
    <w:rsid w:val="00D0233C"/>
    <w:rsid w:val="00D11462"/>
    <w:rsid w:val="00D14D61"/>
    <w:rsid w:val="00D22A47"/>
    <w:rsid w:val="00D275FC"/>
    <w:rsid w:val="00D32192"/>
    <w:rsid w:val="00D3279D"/>
    <w:rsid w:val="00D3576E"/>
    <w:rsid w:val="00D43297"/>
    <w:rsid w:val="00D46B0B"/>
    <w:rsid w:val="00D55ED8"/>
    <w:rsid w:val="00D60C5A"/>
    <w:rsid w:val="00D64E85"/>
    <w:rsid w:val="00D66BD1"/>
    <w:rsid w:val="00D70DB6"/>
    <w:rsid w:val="00D723BC"/>
    <w:rsid w:val="00D76048"/>
    <w:rsid w:val="00D830FF"/>
    <w:rsid w:val="00D86367"/>
    <w:rsid w:val="00D93C80"/>
    <w:rsid w:val="00D9686A"/>
    <w:rsid w:val="00D96A8F"/>
    <w:rsid w:val="00D97E6B"/>
    <w:rsid w:val="00DA16F7"/>
    <w:rsid w:val="00DB406A"/>
    <w:rsid w:val="00DB7FB0"/>
    <w:rsid w:val="00DC1F3F"/>
    <w:rsid w:val="00DD548B"/>
    <w:rsid w:val="00DD5E3A"/>
    <w:rsid w:val="00DD7673"/>
    <w:rsid w:val="00DE4FC7"/>
    <w:rsid w:val="00DF11A7"/>
    <w:rsid w:val="00DF3381"/>
    <w:rsid w:val="00E0183B"/>
    <w:rsid w:val="00E034F5"/>
    <w:rsid w:val="00E0733A"/>
    <w:rsid w:val="00E211ED"/>
    <w:rsid w:val="00E21B7F"/>
    <w:rsid w:val="00E271CB"/>
    <w:rsid w:val="00E301D0"/>
    <w:rsid w:val="00E31511"/>
    <w:rsid w:val="00E317B2"/>
    <w:rsid w:val="00E33FE3"/>
    <w:rsid w:val="00E34FE3"/>
    <w:rsid w:val="00E35F95"/>
    <w:rsid w:val="00E46799"/>
    <w:rsid w:val="00E50028"/>
    <w:rsid w:val="00E55D6C"/>
    <w:rsid w:val="00E57396"/>
    <w:rsid w:val="00E67D51"/>
    <w:rsid w:val="00E75FFF"/>
    <w:rsid w:val="00E81A1B"/>
    <w:rsid w:val="00E81A86"/>
    <w:rsid w:val="00E8607B"/>
    <w:rsid w:val="00E91073"/>
    <w:rsid w:val="00E93583"/>
    <w:rsid w:val="00E94D8C"/>
    <w:rsid w:val="00EA2F86"/>
    <w:rsid w:val="00EA303C"/>
    <w:rsid w:val="00EA6D39"/>
    <w:rsid w:val="00EB0474"/>
    <w:rsid w:val="00EB19E0"/>
    <w:rsid w:val="00EB1D97"/>
    <w:rsid w:val="00EB32A3"/>
    <w:rsid w:val="00EB41C1"/>
    <w:rsid w:val="00EB4FA0"/>
    <w:rsid w:val="00EB7C8A"/>
    <w:rsid w:val="00EC480E"/>
    <w:rsid w:val="00EC4E42"/>
    <w:rsid w:val="00EE04FB"/>
    <w:rsid w:val="00EE057E"/>
    <w:rsid w:val="00EE40A8"/>
    <w:rsid w:val="00EF4C53"/>
    <w:rsid w:val="00F0055B"/>
    <w:rsid w:val="00F006F1"/>
    <w:rsid w:val="00F05540"/>
    <w:rsid w:val="00F072B2"/>
    <w:rsid w:val="00F07B7B"/>
    <w:rsid w:val="00F10C16"/>
    <w:rsid w:val="00F177F5"/>
    <w:rsid w:val="00F23B95"/>
    <w:rsid w:val="00F34699"/>
    <w:rsid w:val="00F40388"/>
    <w:rsid w:val="00F42D3C"/>
    <w:rsid w:val="00F56F75"/>
    <w:rsid w:val="00F6012B"/>
    <w:rsid w:val="00F63389"/>
    <w:rsid w:val="00F63FFF"/>
    <w:rsid w:val="00F665E0"/>
    <w:rsid w:val="00F73D7E"/>
    <w:rsid w:val="00F76573"/>
    <w:rsid w:val="00F877F0"/>
    <w:rsid w:val="00F91697"/>
    <w:rsid w:val="00F91977"/>
    <w:rsid w:val="00F97B57"/>
    <w:rsid w:val="00FA4F7C"/>
    <w:rsid w:val="00FA71AD"/>
    <w:rsid w:val="00FB0456"/>
    <w:rsid w:val="00FB47F4"/>
    <w:rsid w:val="00FD2B12"/>
    <w:rsid w:val="00FD2B9F"/>
    <w:rsid w:val="00FD338B"/>
    <w:rsid w:val="00FD3F88"/>
    <w:rsid w:val="00FD6FA9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785FA"/>
  <w15:docId w15:val="{EC49E92A-3410-4753-8A0A-8796417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99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a">
    <w:name w:val="Date"/>
    <w:basedOn w:val="a"/>
    <w:next w:val="a"/>
    <w:link w:val="afb"/>
    <w:uiPriority w:val="99"/>
    <w:rsid w:val="001A3D5B"/>
    <w:pPr>
      <w:spacing w:after="0" w:line="240" w:lineRule="auto"/>
    </w:pPr>
    <w:rPr>
      <w:rFonts w:ascii="Times New Roman" w:eastAsia="Times New Roman" w:hAnsi="Times New Roman"/>
      <w:lang w:val="en-GB"/>
    </w:rPr>
  </w:style>
  <w:style w:type="character" w:customStyle="1" w:styleId="afb">
    <w:name w:val="Дата Знак"/>
    <w:link w:val="afa"/>
    <w:uiPriority w:val="99"/>
    <w:rsid w:val="001A3D5B"/>
    <w:rPr>
      <w:rFonts w:ascii="Times New Roman" w:eastAsia="Times New Roman" w:hAnsi="Times New Roman"/>
      <w:sz w:val="22"/>
      <w:szCs w:val="22"/>
      <w:lang w:val="en-GB" w:eastAsia="en-US"/>
    </w:rPr>
  </w:style>
  <w:style w:type="character" w:customStyle="1" w:styleId="C-BodyTextChar">
    <w:name w:val="C-Body Text Char"/>
    <w:link w:val="C-BodyText"/>
    <w:locked/>
    <w:rsid w:val="001A3D5B"/>
    <w:rPr>
      <w:sz w:val="24"/>
      <w:szCs w:val="24"/>
      <w:lang w:val="en-US"/>
    </w:rPr>
  </w:style>
  <w:style w:type="paragraph" w:customStyle="1" w:styleId="C-BodyText">
    <w:name w:val="C-Body Text"/>
    <w:link w:val="C-BodyTextChar"/>
    <w:qFormat/>
    <w:rsid w:val="001A3D5B"/>
    <w:pPr>
      <w:spacing w:before="120" w:after="120" w:line="280" w:lineRule="atLeast"/>
    </w:pPr>
    <w:rPr>
      <w:sz w:val="24"/>
      <w:szCs w:val="24"/>
      <w:lang w:val="en-US"/>
    </w:rPr>
  </w:style>
  <w:style w:type="paragraph" w:customStyle="1" w:styleId="C-TableText">
    <w:name w:val="C-Table Text"/>
    <w:link w:val="C-TableTextChar"/>
    <w:rsid w:val="001A3D5B"/>
    <w:pPr>
      <w:spacing w:before="60" w:after="60"/>
    </w:pPr>
    <w:rPr>
      <w:rFonts w:ascii="Times New Roman" w:eastAsia="Times New Roman" w:hAnsi="Times New Roman"/>
      <w:lang w:val="en-US" w:eastAsia="en-US"/>
    </w:rPr>
  </w:style>
  <w:style w:type="character" w:customStyle="1" w:styleId="C-TableTextChar">
    <w:name w:val="C-Table Text Char"/>
    <w:link w:val="C-TableText"/>
    <w:rsid w:val="001A3D5B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a"/>
    <w:uiPriority w:val="34"/>
    <w:qFormat/>
    <w:rsid w:val="001A3D5B"/>
    <w:pPr>
      <w:spacing w:after="0" w:line="240" w:lineRule="auto"/>
      <w:ind w:left="720"/>
    </w:pPr>
    <w:rPr>
      <w:rFonts w:cs="Calibri"/>
      <w:lang w:val="en-US"/>
    </w:rPr>
  </w:style>
  <w:style w:type="paragraph" w:customStyle="1" w:styleId="NoSpacing1">
    <w:name w:val="No Spacing1"/>
    <w:uiPriority w:val="1"/>
    <w:qFormat/>
    <w:rsid w:val="001A3D5B"/>
    <w:rPr>
      <w:rFonts w:ascii="Times New Roman" w:eastAsia="Times New Roman" w:hAnsi="Times New Roman"/>
      <w:sz w:val="22"/>
      <w:lang w:val="en-GB" w:eastAsia="en-US"/>
    </w:rPr>
  </w:style>
  <w:style w:type="paragraph" w:customStyle="1" w:styleId="c-bodytext0">
    <w:name w:val="c-bodytext"/>
    <w:basedOn w:val="a"/>
    <w:uiPriority w:val="99"/>
    <w:rsid w:val="008F785C"/>
    <w:pPr>
      <w:spacing w:before="120" w:after="120" w:line="280" w:lineRule="atLeas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1">
    <w:name w:val="Body Text Char1"/>
    <w:uiPriority w:val="99"/>
    <w:rsid w:val="008F785C"/>
    <w:rPr>
      <w:sz w:val="24"/>
      <w:szCs w:val="24"/>
      <w:lang w:val="en-US" w:eastAsia="en-US" w:bidi="ar-SA"/>
    </w:rPr>
  </w:style>
  <w:style w:type="paragraph" w:customStyle="1" w:styleId="BodytextAgency">
    <w:name w:val="Body text (Agency)"/>
    <w:basedOn w:val="a"/>
    <w:link w:val="BodytextAgencyChar"/>
    <w:uiPriority w:val="99"/>
    <w:qFormat/>
    <w:rsid w:val="008F785C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uiPriority w:val="99"/>
    <w:locked/>
    <w:rsid w:val="008F785C"/>
    <w:rPr>
      <w:rFonts w:ascii="Verdana" w:eastAsia="Verdana" w:hAnsi="Verdana"/>
      <w:sz w:val="18"/>
      <w:szCs w:val="18"/>
      <w:lang w:val="en-GB" w:eastAsia="en-GB"/>
    </w:rPr>
  </w:style>
  <w:style w:type="paragraph" w:styleId="21">
    <w:name w:val="Body Text Indent 2"/>
    <w:basedOn w:val="a"/>
    <w:link w:val="22"/>
    <w:uiPriority w:val="99"/>
    <w:semiHidden/>
    <w:unhideWhenUsed/>
    <w:rsid w:val="008F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785C"/>
    <w:rPr>
      <w:sz w:val="22"/>
      <w:szCs w:val="22"/>
      <w:lang w:eastAsia="en-US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B562D9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d">
    <w:name w:val="Тема примечания Знак"/>
    <w:link w:val="afc"/>
    <w:uiPriority w:val="99"/>
    <w:semiHidden/>
    <w:rsid w:val="00B562D9"/>
    <w:rPr>
      <w:rFonts w:ascii="Times New Roman" w:eastAsia="Times New Roman" w:hAnsi="Times New Roman" w:cs="Arial Unicode MS"/>
      <w:b/>
      <w:bCs/>
      <w:lang w:val="ru-RU" w:eastAsia="hu-HU" w:bidi="ml-IN"/>
    </w:rPr>
  </w:style>
  <w:style w:type="character" w:customStyle="1" w:styleId="14">
    <w:name w:val="Неразрешенное упоминание1"/>
    <w:uiPriority w:val="99"/>
    <w:semiHidden/>
    <w:unhideWhenUsed/>
    <w:rsid w:val="005901FA"/>
    <w:rPr>
      <w:color w:val="605E5C"/>
      <w:shd w:val="clear" w:color="auto" w:fill="E1DFDD"/>
    </w:rPr>
  </w:style>
  <w:style w:type="table" w:styleId="afe">
    <w:name w:val="Table Grid"/>
    <w:basedOn w:val="a1"/>
    <w:uiPriority w:val="59"/>
    <w:rsid w:val="0095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E0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harma@panaceabiotec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ndda.kz" TargetMode="External"/><Relationship Id="rId10" Type="http://schemas.openxmlformats.org/officeDocument/2006/relationships/hyperlink" Target="http://www.ndda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ffice.secretary@rogersgroup.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DB860545E7864E850EAA67020FD511" ma:contentTypeVersion="15" ma:contentTypeDescription="Создание документа." ma:contentTypeScope="" ma:versionID="5aafa22198a11ab1ce4c0584ecfd9e88">
  <xsd:schema xmlns:xsd="http://www.w3.org/2001/XMLSchema" xmlns:xs="http://www.w3.org/2001/XMLSchema" xmlns:p="http://schemas.microsoft.com/office/2006/metadata/properties" xmlns:ns2="1a00ec5b-0490-44ca-aeee-a466c67a94dc" xmlns:ns3="a0e504b9-f7ec-471d-b3b2-c3fc3d756b23" targetNamespace="http://schemas.microsoft.com/office/2006/metadata/properties" ma:root="true" ma:fieldsID="1bb668a6220608b43e54f28ff40055ce" ns2:_="" ns3:_="">
    <xsd:import namespace="1a00ec5b-0490-44ca-aeee-a466c67a94dc"/>
    <xsd:import namespace="a0e504b9-f7ec-471d-b3b2-c3fc3d756b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0ec5b-0490-44ca-aeee-a466c67a94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ef9b58-abeb-4574-a53d-824dd6aa9c2d}" ma:internalName="TaxCatchAll" ma:showField="CatchAllData" ma:web="1a00ec5b-0490-44ca-aeee-a466c67a9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04b9-f7ec-471d-b3b2-c3fc3d756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67eb834-cfe2-4735-b6f3-4cca899da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11EDE-16D4-44A2-BAF0-B12CD6C81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6B4BB-D520-4119-B13E-D4B54E4AD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DA6CA-9863-4CA4-A3C7-8B13A345A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0ec5b-0490-44ca-aeee-a466c67a94dc"/>
    <ds:schemaRef ds:uri="a0e504b9-f7ec-471d-b3b2-c3fc3d756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24</Pages>
  <Words>9222</Words>
  <Characters>52571</Characters>
  <Application>Microsoft Office Word</Application>
  <DocSecurity>0</DocSecurity>
  <Lines>438</Lines>
  <Paragraphs>123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JSC Farmak</Company>
  <LinksUpToDate>false</LinksUpToDate>
  <CharactersWithSpaces>61670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5570610</vt:i4>
      </vt:variant>
      <vt:variant>
        <vt:i4>3</vt:i4>
      </vt:variant>
      <vt:variant>
        <vt:i4>0</vt:i4>
      </vt:variant>
      <vt:variant>
        <vt:i4>5</vt:i4>
      </vt:variant>
      <vt:variant>
        <vt:lpwstr>mailto:Frederic.Oppliger@bms.com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17</cp:revision>
  <cp:lastPrinted>2018-03-22T06:08:00Z</cp:lastPrinted>
  <dcterms:created xsi:type="dcterms:W3CDTF">2022-11-02T05:55:00Z</dcterms:created>
  <dcterms:modified xsi:type="dcterms:W3CDTF">2025-07-02T10:40:00Z</dcterms:modified>
</cp:coreProperties>
</file>